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0984" w14:textId="7198B313" w:rsidR="00106868" w:rsidRPr="00AA4CE0" w:rsidRDefault="00106868" w:rsidP="00106868">
      <w:pPr>
        <w:jc w:val="center"/>
        <w:rPr>
          <w:b/>
          <w:caps/>
        </w:rPr>
      </w:pPr>
      <w:r w:rsidRPr="00AA4CE0">
        <w:rPr>
          <w:b/>
          <w:caps/>
        </w:rPr>
        <w:t>Kultūros ir švietimo skyriaus ataskaita už 202</w:t>
      </w:r>
      <w:r w:rsidR="0072696B">
        <w:rPr>
          <w:b/>
          <w:caps/>
        </w:rPr>
        <w:t>3</w:t>
      </w:r>
      <w:r w:rsidRPr="00AA4CE0">
        <w:rPr>
          <w:b/>
          <w:caps/>
        </w:rPr>
        <w:t xml:space="preserve"> metus</w:t>
      </w:r>
    </w:p>
    <w:p w14:paraId="0068F8B4" w14:textId="77777777" w:rsidR="00106868" w:rsidRPr="00AA4CE0" w:rsidRDefault="00106868" w:rsidP="00106868">
      <w:pPr>
        <w:jc w:val="center"/>
        <w:rPr>
          <w:b/>
          <w:caps/>
        </w:rPr>
      </w:pPr>
      <w:r w:rsidRPr="00AA4CE0">
        <w:rPr>
          <w:b/>
          <w:caps/>
        </w:rPr>
        <w:t>(švietimo dalis)</w:t>
      </w:r>
    </w:p>
    <w:p w14:paraId="7AA51831" w14:textId="2CB138D6" w:rsidR="00106868" w:rsidRPr="00AA4CE0" w:rsidRDefault="00106868" w:rsidP="00DD56F9">
      <w:pPr>
        <w:tabs>
          <w:tab w:val="left" w:pos="900"/>
        </w:tabs>
        <w:spacing w:line="360" w:lineRule="auto"/>
        <w:jc w:val="both"/>
      </w:pPr>
      <w:r w:rsidRPr="00AA4CE0">
        <w:t xml:space="preserve">  </w:t>
      </w:r>
      <w:r w:rsidRPr="00AA4CE0">
        <w:tab/>
        <w:t>Savivaldybės administracijos Kultūros ir švietimo skyrius 202</w:t>
      </w:r>
      <w:r>
        <w:t>3</w:t>
      </w:r>
      <w:r w:rsidRPr="00AA4CE0">
        <w:t xml:space="preserve"> metais įgyvendino valstybinę švietimo politiką, organizavo ir prižiūrėjo pavaldžių švietimo įstaigų vykdomą ikimokyklinį ir priešmokyklinį vaikų ugdymą, pradinį, pagrindinį ir vidurinį ugdymą, specialųjį ugdymą, vaikų ir suaugusiųjų švietimą bei vaikų užimtumą.</w:t>
      </w:r>
    </w:p>
    <w:p w14:paraId="2A9E0032" w14:textId="77777777" w:rsidR="00106868" w:rsidRPr="00AA4CE0" w:rsidRDefault="00106868" w:rsidP="00DD56F9">
      <w:pPr>
        <w:tabs>
          <w:tab w:val="left" w:pos="900"/>
        </w:tabs>
        <w:spacing w:line="360" w:lineRule="auto"/>
        <w:jc w:val="both"/>
      </w:pPr>
      <w:r w:rsidRPr="00AA4CE0">
        <w:tab/>
        <w:t>Kultūros ir švietimo skyriaus specialistai stebėjo, tyrė ir vertino rajono švietimo būklę analizuodami, kaip tenkinami vaikų ir suaugusiųjų asmenų švietimo poreikiai savivaldybės teritorijoje, pavaldžiose mokyklose ir įstaigose, koordinavo pavaldžių mokyklų veiklą, konsultavo mokyklų vadovus ir mokytojus, mokyklų bendruomenes ugdymo proceso organizavimo ir ugdymo turinio įgyvendinimo ir kitais klausimais.</w:t>
      </w:r>
    </w:p>
    <w:p w14:paraId="0A7A4354" w14:textId="77777777" w:rsidR="00106868" w:rsidRPr="00AA4CE0" w:rsidRDefault="00106868" w:rsidP="00DD56F9">
      <w:pPr>
        <w:tabs>
          <w:tab w:val="left" w:pos="900"/>
        </w:tabs>
        <w:spacing w:line="360" w:lineRule="auto"/>
        <w:jc w:val="both"/>
      </w:pPr>
      <w:r w:rsidRPr="00AA4CE0">
        <w:tab/>
        <w:t>Kultūros ir švietimo skyrius inicijavo ir rengė būtinus ir tikslingus rajono Savivaldybės tarybos sprendimų projektus švietimo politikos klausimais, organizavo ir prižiūrėjo jų įgyvendinimą.</w:t>
      </w:r>
    </w:p>
    <w:p w14:paraId="15AF8E31" w14:textId="77777777" w:rsidR="008B66FD" w:rsidRPr="00AA4CE0" w:rsidRDefault="008B66FD" w:rsidP="00DD56F9">
      <w:pPr>
        <w:keepNext/>
        <w:keepLines/>
        <w:spacing w:after="218" w:line="360" w:lineRule="auto"/>
        <w:ind w:left="3740"/>
        <w:jc w:val="both"/>
        <w:outlineLvl w:val="1"/>
        <w:rPr>
          <w:b/>
          <w:bCs/>
          <w:color w:val="000000"/>
          <w:sz w:val="22"/>
          <w:lang w:val="lt"/>
        </w:rPr>
      </w:pPr>
      <w:r w:rsidRPr="00AA4CE0">
        <w:rPr>
          <w:b/>
          <w:bCs/>
          <w:color w:val="000000"/>
          <w:sz w:val="22"/>
          <w:lang w:val="lt"/>
        </w:rPr>
        <w:t>Švietimo įstaigų statistika</w:t>
      </w:r>
    </w:p>
    <w:tbl>
      <w:tblPr>
        <w:tblW w:w="9067" w:type="dxa"/>
        <w:jc w:val="center"/>
        <w:tblLayout w:type="fixed"/>
        <w:tblCellMar>
          <w:left w:w="10" w:type="dxa"/>
          <w:right w:w="10" w:type="dxa"/>
        </w:tblCellMar>
        <w:tblLook w:val="04A0" w:firstRow="1" w:lastRow="0" w:firstColumn="1" w:lastColumn="0" w:noHBand="0" w:noVBand="1"/>
      </w:tblPr>
      <w:tblGrid>
        <w:gridCol w:w="1003"/>
        <w:gridCol w:w="2253"/>
        <w:gridCol w:w="1518"/>
        <w:gridCol w:w="1458"/>
        <w:gridCol w:w="1418"/>
        <w:gridCol w:w="1417"/>
      </w:tblGrid>
      <w:tr w:rsidR="00C04188" w:rsidRPr="00AA4CE0" w14:paraId="4C00D043" w14:textId="77777777" w:rsidTr="00C04188">
        <w:trPr>
          <w:trHeight w:val="566"/>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FFFFFF"/>
          </w:tcPr>
          <w:p w14:paraId="0AEEAEB1" w14:textId="77777777" w:rsidR="00C04188" w:rsidRPr="00106515" w:rsidRDefault="00C04188" w:rsidP="00DD56F9">
            <w:pPr>
              <w:spacing w:line="360" w:lineRule="auto"/>
              <w:ind w:left="2120"/>
              <w:jc w:val="both"/>
              <w:rPr>
                <w:color w:val="000000"/>
                <w:sz w:val="22"/>
                <w:lang w:val="lt"/>
              </w:rPr>
            </w:pPr>
            <w:r w:rsidRPr="00106515">
              <w:rPr>
                <w:color w:val="000000"/>
                <w:sz w:val="22"/>
                <w:lang w:val="lt"/>
              </w:rPr>
              <w:t>Rodikliai</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01B07B52" w14:textId="2D7476B4" w:rsidR="00C04188" w:rsidRPr="00106515" w:rsidRDefault="00C04188" w:rsidP="00DD56F9">
            <w:pPr>
              <w:spacing w:line="360" w:lineRule="auto"/>
              <w:jc w:val="both"/>
              <w:rPr>
                <w:color w:val="000000"/>
                <w:sz w:val="22"/>
                <w:lang w:val="lt"/>
              </w:rPr>
            </w:pPr>
            <w:r w:rsidRPr="00106515">
              <w:rPr>
                <w:color w:val="000000"/>
                <w:sz w:val="22"/>
                <w:lang w:val="lt"/>
              </w:rPr>
              <w:t>2019-2022 m. m.</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6A77A30C" w14:textId="7B618288" w:rsidR="00C04188" w:rsidRPr="00106515" w:rsidRDefault="00C04188" w:rsidP="00DD56F9">
            <w:pPr>
              <w:spacing w:line="360" w:lineRule="auto"/>
              <w:jc w:val="both"/>
              <w:rPr>
                <w:color w:val="000000"/>
                <w:sz w:val="22"/>
                <w:lang w:val="lt"/>
              </w:rPr>
            </w:pPr>
            <w:r w:rsidRPr="00106515">
              <w:rPr>
                <w:color w:val="000000"/>
                <w:sz w:val="22"/>
                <w:lang w:val="lt"/>
              </w:rPr>
              <w:t>2020 – 2021 m. m.</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B6EE4A" w14:textId="61F9146E" w:rsidR="00C04188" w:rsidRPr="00106515" w:rsidRDefault="00C04188" w:rsidP="00DD56F9">
            <w:pPr>
              <w:spacing w:line="360" w:lineRule="auto"/>
              <w:jc w:val="both"/>
              <w:rPr>
                <w:color w:val="000000"/>
                <w:sz w:val="22"/>
                <w:lang w:val="lt"/>
              </w:rPr>
            </w:pPr>
            <w:r w:rsidRPr="00106515">
              <w:rPr>
                <w:color w:val="000000"/>
                <w:sz w:val="22"/>
                <w:lang w:val="lt"/>
              </w:rPr>
              <w:t>2021 – 2022 m. m.</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E038B8" w14:textId="7E6E5633" w:rsidR="00C04188" w:rsidRPr="00106515" w:rsidRDefault="00C04188" w:rsidP="00DD56F9">
            <w:pPr>
              <w:spacing w:line="360" w:lineRule="auto"/>
              <w:jc w:val="both"/>
              <w:rPr>
                <w:color w:val="000000"/>
                <w:sz w:val="22"/>
                <w:lang w:val="lt"/>
              </w:rPr>
            </w:pPr>
            <w:r w:rsidRPr="00106515">
              <w:rPr>
                <w:color w:val="000000"/>
                <w:sz w:val="22"/>
                <w:lang w:val="lt"/>
              </w:rPr>
              <w:t>2022 – 2023 m. m.</w:t>
            </w:r>
          </w:p>
        </w:tc>
      </w:tr>
      <w:tr w:rsidR="00C04188" w:rsidRPr="00AA4CE0" w14:paraId="21C1FD5D" w14:textId="77777777" w:rsidTr="00C04188">
        <w:trPr>
          <w:trHeight w:val="359"/>
          <w:jc w:val="center"/>
        </w:trPr>
        <w:tc>
          <w:tcPr>
            <w:tcW w:w="1003" w:type="dxa"/>
            <w:vMerge w:val="restart"/>
            <w:tcBorders>
              <w:top w:val="single" w:sz="4" w:space="0" w:color="auto"/>
              <w:left w:val="single" w:sz="4" w:space="0" w:color="auto"/>
              <w:right w:val="single" w:sz="4" w:space="0" w:color="auto"/>
            </w:tcBorders>
            <w:shd w:val="clear" w:color="auto" w:fill="FFFFFF"/>
          </w:tcPr>
          <w:p w14:paraId="564268B7"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Švietimo įstaigų ir paslaugų gavėjų skaičius</w:t>
            </w:r>
          </w:p>
        </w:tc>
        <w:tc>
          <w:tcPr>
            <w:tcW w:w="2253" w:type="dxa"/>
            <w:tcBorders>
              <w:top w:val="single" w:sz="4" w:space="0" w:color="auto"/>
              <w:left w:val="single" w:sz="4" w:space="0" w:color="auto"/>
              <w:right w:val="single" w:sz="4" w:space="0" w:color="auto"/>
            </w:tcBorders>
            <w:shd w:val="clear" w:color="auto" w:fill="FFFFFF"/>
          </w:tcPr>
          <w:p w14:paraId="4CB8252C"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Gimnazijos</w:t>
            </w:r>
          </w:p>
        </w:tc>
        <w:tc>
          <w:tcPr>
            <w:tcW w:w="1518" w:type="dxa"/>
            <w:tcBorders>
              <w:top w:val="single" w:sz="4" w:space="0" w:color="auto"/>
              <w:left w:val="single" w:sz="4" w:space="0" w:color="auto"/>
              <w:right w:val="single" w:sz="4" w:space="0" w:color="auto"/>
            </w:tcBorders>
            <w:shd w:val="clear" w:color="auto" w:fill="FFFFFF"/>
          </w:tcPr>
          <w:p w14:paraId="4F76EA04" w14:textId="00C6DFEC" w:rsidR="00C04188" w:rsidRPr="00AA4CE0" w:rsidRDefault="00C04188" w:rsidP="00DD56F9">
            <w:pPr>
              <w:spacing w:line="360" w:lineRule="auto"/>
              <w:jc w:val="both"/>
              <w:rPr>
                <w:color w:val="000000"/>
                <w:sz w:val="23"/>
                <w:szCs w:val="23"/>
                <w:lang w:val="lt"/>
              </w:rPr>
            </w:pPr>
            <w:r w:rsidRPr="00AA4CE0">
              <w:rPr>
                <w:color w:val="000000"/>
                <w:sz w:val="23"/>
                <w:szCs w:val="23"/>
                <w:lang w:val="lt"/>
              </w:rPr>
              <w:t>3 – 724 mok.</w:t>
            </w:r>
          </w:p>
        </w:tc>
        <w:tc>
          <w:tcPr>
            <w:tcW w:w="1458" w:type="dxa"/>
            <w:tcBorders>
              <w:top w:val="single" w:sz="4" w:space="0" w:color="auto"/>
              <w:left w:val="single" w:sz="4" w:space="0" w:color="auto"/>
              <w:right w:val="single" w:sz="4" w:space="0" w:color="auto"/>
            </w:tcBorders>
            <w:shd w:val="clear" w:color="auto" w:fill="FFFFFF"/>
          </w:tcPr>
          <w:p w14:paraId="1FFC7DE9" w14:textId="69C026F5" w:rsidR="00C04188" w:rsidRPr="00AA4CE0" w:rsidRDefault="00C04188" w:rsidP="00DD56F9">
            <w:pPr>
              <w:spacing w:line="360" w:lineRule="auto"/>
              <w:jc w:val="both"/>
              <w:rPr>
                <w:color w:val="000000"/>
                <w:sz w:val="23"/>
                <w:szCs w:val="23"/>
                <w:lang w:val="lt"/>
              </w:rPr>
            </w:pPr>
            <w:r w:rsidRPr="00AA4CE0">
              <w:rPr>
                <w:color w:val="000000"/>
                <w:sz w:val="23"/>
                <w:szCs w:val="23"/>
                <w:lang w:val="lt"/>
              </w:rPr>
              <w:t>3 – 7</w:t>
            </w:r>
            <w:r>
              <w:rPr>
                <w:color w:val="000000"/>
                <w:sz w:val="23"/>
                <w:szCs w:val="23"/>
                <w:lang w:val="lt"/>
              </w:rPr>
              <w:t>07</w:t>
            </w:r>
            <w:r w:rsidRPr="00AA4CE0">
              <w:rPr>
                <w:color w:val="000000"/>
                <w:sz w:val="23"/>
                <w:szCs w:val="23"/>
                <w:lang w:val="lt"/>
              </w:rPr>
              <w:t xml:space="preserve"> mok.</w:t>
            </w:r>
          </w:p>
        </w:tc>
        <w:tc>
          <w:tcPr>
            <w:tcW w:w="1418" w:type="dxa"/>
            <w:tcBorders>
              <w:top w:val="single" w:sz="4" w:space="0" w:color="auto"/>
              <w:left w:val="single" w:sz="4" w:space="0" w:color="auto"/>
              <w:right w:val="single" w:sz="4" w:space="0" w:color="auto"/>
            </w:tcBorders>
            <w:shd w:val="clear" w:color="auto" w:fill="FFFFFF"/>
          </w:tcPr>
          <w:p w14:paraId="3477210C" w14:textId="1BFB61E7" w:rsidR="00C04188" w:rsidRPr="00AA4CE0" w:rsidRDefault="00C04188" w:rsidP="00DD56F9">
            <w:pPr>
              <w:spacing w:line="360" w:lineRule="auto"/>
              <w:jc w:val="both"/>
              <w:rPr>
                <w:color w:val="000000"/>
                <w:sz w:val="23"/>
                <w:szCs w:val="23"/>
                <w:lang w:val="lt"/>
              </w:rPr>
            </w:pPr>
            <w:r w:rsidRPr="00AA4CE0">
              <w:rPr>
                <w:color w:val="000000"/>
                <w:sz w:val="23"/>
                <w:szCs w:val="23"/>
                <w:lang w:val="lt"/>
              </w:rPr>
              <w:t xml:space="preserve">3 – </w:t>
            </w:r>
            <w:r>
              <w:rPr>
                <w:color w:val="000000"/>
                <w:sz w:val="23"/>
                <w:szCs w:val="23"/>
                <w:lang w:val="lt"/>
              </w:rPr>
              <w:t>696</w:t>
            </w:r>
            <w:r w:rsidRPr="00AA4CE0">
              <w:rPr>
                <w:color w:val="000000"/>
                <w:sz w:val="23"/>
                <w:szCs w:val="23"/>
                <w:lang w:val="lt"/>
              </w:rPr>
              <w:t xml:space="preserve"> mok.</w:t>
            </w:r>
          </w:p>
        </w:tc>
        <w:tc>
          <w:tcPr>
            <w:tcW w:w="1417" w:type="dxa"/>
            <w:tcBorders>
              <w:top w:val="single" w:sz="4" w:space="0" w:color="auto"/>
              <w:left w:val="single" w:sz="4" w:space="0" w:color="auto"/>
              <w:right w:val="single" w:sz="4" w:space="0" w:color="auto"/>
            </w:tcBorders>
            <w:shd w:val="clear" w:color="auto" w:fill="FFFFFF"/>
          </w:tcPr>
          <w:p w14:paraId="593B9530" w14:textId="5C6A8A03" w:rsidR="00C04188" w:rsidRPr="00B6646E" w:rsidRDefault="00C04188" w:rsidP="00DD56F9">
            <w:pPr>
              <w:spacing w:line="360" w:lineRule="auto"/>
              <w:jc w:val="both"/>
              <w:rPr>
                <w:color w:val="000000"/>
                <w:sz w:val="23"/>
                <w:szCs w:val="23"/>
                <w:lang w:val="lt"/>
              </w:rPr>
            </w:pPr>
            <w:r w:rsidRPr="00B6646E">
              <w:rPr>
                <w:color w:val="000000"/>
                <w:sz w:val="23"/>
                <w:szCs w:val="23"/>
                <w:lang w:val="lt"/>
              </w:rPr>
              <w:t>3 - 708</w:t>
            </w:r>
          </w:p>
        </w:tc>
      </w:tr>
      <w:tr w:rsidR="00C04188" w:rsidRPr="00AA4CE0" w14:paraId="4AC8B69C" w14:textId="77777777" w:rsidTr="00C04188">
        <w:trPr>
          <w:trHeight w:val="288"/>
          <w:jc w:val="center"/>
        </w:trPr>
        <w:tc>
          <w:tcPr>
            <w:tcW w:w="1003" w:type="dxa"/>
            <w:vMerge/>
            <w:tcBorders>
              <w:left w:val="single" w:sz="4" w:space="0" w:color="auto"/>
              <w:right w:val="single" w:sz="4" w:space="0" w:color="auto"/>
            </w:tcBorders>
            <w:shd w:val="clear" w:color="auto" w:fill="FFFFFF"/>
          </w:tcPr>
          <w:p w14:paraId="2A21ADAE"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bottom w:val="single" w:sz="4" w:space="0" w:color="auto"/>
              <w:right w:val="single" w:sz="4" w:space="0" w:color="auto"/>
            </w:tcBorders>
            <w:shd w:val="clear" w:color="auto" w:fill="FFFFFF"/>
          </w:tcPr>
          <w:p w14:paraId="6910BE55"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Pagrindinės mokyklos</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42629FB7" w14:textId="68890B24" w:rsidR="00C04188" w:rsidRPr="00AA4CE0" w:rsidRDefault="00C04188" w:rsidP="00DD56F9">
            <w:pPr>
              <w:spacing w:line="360" w:lineRule="auto"/>
              <w:jc w:val="both"/>
              <w:rPr>
                <w:color w:val="000000"/>
                <w:sz w:val="23"/>
                <w:szCs w:val="23"/>
                <w:lang w:val="lt"/>
              </w:rPr>
            </w:pPr>
            <w:r w:rsidRPr="00AA4CE0">
              <w:rPr>
                <w:color w:val="000000"/>
                <w:sz w:val="23"/>
                <w:szCs w:val="23"/>
                <w:lang w:val="lt"/>
              </w:rPr>
              <w:t>3 – 145 mok.</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5C960B57" w14:textId="0BA3807D"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60 mok.</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33DFCF9" w14:textId="15E7A301" w:rsidR="00C04188" w:rsidRPr="00AA4CE0" w:rsidRDefault="00C04188" w:rsidP="00DD56F9">
            <w:pPr>
              <w:spacing w:line="360" w:lineRule="auto"/>
              <w:jc w:val="both"/>
              <w:rPr>
                <w:color w:val="000000"/>
                <w:sz w:val="23"/>
                <w:szCs w:val="23"/>
                <w:lang w:val="lt"/>
              </w:rPr>
            </w:pPr>
            <w:r>
              <w:rPr>
                <w:color w:val="000000"/>
                <w:sz w:val="23"/>
                <w:szCs w:val="23"/>
                <w:lang w:val="lt"/>
              </w:rPr>
              <w:t>1</w:t>
            </w:r>
            <w:r w:rsidRPr="00AA4CE0">
              <w:rPr>
                <w:color w:val="000000"/>
                <w:sz w:val="23"/>
                <w:szCs w:val="23"/>
                <w:lang w:val="lt"/>
              </w:rPr>
              <w:t xml:space="preserve"> – </w:t>
            </w:r>
            <w:r>
              <w:rPr>
                <w:color w:val="000000"/>
                <w:sz w:val="23"/>
                <w:szCs w:val="23"/>
                <w:lang w:val="lt"/>
              </w:rPr>
              <w:t>64</w:t>
            </w:r>
            <w:r w:rsidRPr="00AA4CE0">
              <w:rPr>
                <w:color w:val="000000"/>
                <w:sz w:val="23"/>
                <w:szCs w:val="23"/>
                <w:lang w:val="lt"/>
              </w:rPr>
              <w:t xml:space="preserve"> mok.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1E934D" w14:textId="7E3D7E10" w:rsidR="00C04188" w:rsidRPr="00B6646E" w:rsidRDefault="00C04188" w:rsidP="00DD56F9">
            <w:pPr>
              <w:spacing w:line="360" w:lineRule="auto"/>
              <w:jc w:val="both"/>
              <w:rPr>
                <w:color w:val="000000"/>
                <w:sz w:val="23"/>
                <w:szCs w:val="23"/>
                <w:lang w:val="lt"/>
              </w:rPr>
            </w:pPr>
            <w:r w:rsidRPr="00B6646E">
              <w:rPr>
                <w:color w:val="000000"/>
                <w:sz w:val="23"/>
                <w:szCs w:val="23"/>
                <w:lang w:val="lt"/>
              </w:rPr>
              <w:t>0</w:t>
            </w:r>
          </w:p>
        </w:tc>
      </w:tr>
      <w:tr w:rsidR="00C04188" w:rsidRPr="00AA4CE0" w14:paraId="32226A13" w14:textId="77777777" w:rsidTr="00C04188">
        <w:trPr>
          <w:trHeight w:val="283"/>
          <w:jc w:val="center"/>
        </w:trPr>
        <w:tc>
          <w:tcPr>
            <w:tcW w:w="1003" w:type="dxa"/>
            <w:vMerge/>
            <w:tcBorders>
              <w:left w:val="single" w:sz="4" w:space="0" w:color="auto"/>
              <w:right w:val="single" w:sz="4" w:space="0" w:color="auto"/>
            </w:tcBorders>
            <w:shd w:val="clear" w:color="auto" w:fill="FFFFFF"/>
          </w:tcPr>
          <w:p w14:paraId="111254B1"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bottom w:val="single" w:sz="4" w:space="0" w:color="auto"/>
              <w:right w:val="single" w:sz="4" w:space="0" w:color="auto"/>
            </w:tcBorders>
            <w:shd w:val="clear" w:color="auto" w:fill="FFFFFF"/>
          </w:tcPr>
          <w:p w14:paraId="0747D1DC"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Progimnazijos</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694AAA4E" w14:textId="6C7D5CF0"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366 mok.</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707453D1" w14:textId="1A84FC13"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383 mok.</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C05ED4" w14:textId="7265124C"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3</w:t>
            </w:r>
            <w:r>
              <w:rPr>
                <w:color w:val="000000"/>
                <w:sz w:val="23"/>
                <w:szCs w:val="23"/>
                <w:lang w:val="lt"/>
              </w:rPr>
              <w:t>7</w:t>
            </w:r>
            <w:r w:rsidRPr="00AA4CE0">
              <w:rPr>
                <w:color w:val="000000"/>
                <w:sz w:val="23"/>
                <w:szCs w:val="23"/>
                <w:lang w:val="lt"/>
              </w:rPr>
              <w:t>2 mok.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02C60E" w14:textId="181A1803" w:rsidR="00C04188" w:rsidRPr="00B6646E" w:rsidRDefault="00C04188" w:rsidP="00DD56F9">
            <w:pPr>
              <w:spacing w:line="360" w:lineRule="auto"/>
              <w:jc w:val="both"/>
              <w:rPr>
                <w:color w:val="000000"/>
                <w:sz w:val="23"/>
                <w:szCs w:val="23"/>
                <w:lang w:val="lt"/>
              </w:rPr>
            </w:pPr>
            <w:r w:rsidRPr="00B6646E">
              <w:rPr>
                <w:color w:val="000000"/>
                <w:sz w:val="23"/>
                <w:szCs w:val="23"/>
                <w:lang w:val="lt"/>
              </w:rPr>
              <w:t>1 – 382 mok.</w:t>
            </w:r>
          </w:p>
        </w:tc>
      </w:tr>
      <w:tr w:rsidR="00C04188" w:rsidRPr="00AA4CE0" w14:paraId="5B8C268E" w14:textId="77777777" w:rsidTr="00C04188">
        <w:trPr>
          <w:trHeight w:val="288"/>
          <w:jc w:val="center"/>
        </w:trPr>
        <w:tc>
          <w:tcPr>
            <w:tcW w:w="1003" w:type="dxa"/>
            <w:vMerge/>
            <w:tcBorders>
              <w:left w:val="single" w:sz="4" w:space="0" w:color="auto"/>
              <w:right w:val="single" w:sz="4" w:space="0" w:color="auto"/>
            </w:tcBorders>
            <w:shd w:val="clear" w:color="auto" w:fill="FFFFFF"/>
          </w:tcPr>
          <w:p w14:paraId="6D4C2F1F"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bottom w:val="single" w:sz="4" w:space="0" w:color="auto"/>
              <w:right w:val="single" w:sz="4" w:space="0" w:color="auto"/>
            </w:tcBorders>
            <w:shd w:val="clear" w:color="auto" w:fill="FFFFFF"/>
          </w:tcPr>
          <w:p w14:paraId="1EB89866" w14:textId="77777777" w:rsidR="00C04188" w:rsidRPr="00AA4CE0" w:rsidRDefault="00C04188" w:rsidP="00DD56F9">
            <w:pPr>
              <w:spacing w:line="360" w:lineRule="auto"/>
              <w:ind w:left="120"/>
              <w:jc w:val="both"/>
              <w:rPr>
                <w:color w:val="000000"/>
                <w:sz w:val="23"/>
                <w:szCs w:val="23"/>
                <w:lang w:val="lt"/>
              </w:rPr>
            </w:pPr>
            <w:proofErr w:type="spellStart"/>
            <w:r w:rsidRPr="00AA4CE0">
              <w:rPr>
                <w:color w:val="000000"/>
                <w:sz w:val="23"/>
                <w:szCs w:val="23"/>
                <w:lang w:val="lt"/>
              </w:rPr>
              <w:t>Kijėlių</w:t>
            </w:r>
            <w:proofErr w:type="spellEnd"/>
            <w:r w:rsidRPr="00AA4CE0">
              <w:rPr>
                <w:color w:val="000000"/>
                <w:sz w:val="23"/>
                <w:szCs w:val="23"/>
                <w:lang w:val="lt"/>
              </w:rPr>
              <w:t xml:space="preserve"> SUC</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2ABB3655" w14:textId="206347F8"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23 mok.</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6B2013F9" w14:textId="7AC7355F"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18 mok.</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AB2108" w14:textId="2A7BE742" w:rsidR="00C04188" w:rsidRPr="00AA4CE0" w:rsidRDefault="00C04188" w:rsidP="00DD56F9">
            <w:pPr>
              <w:spacing w:line="360" w:lineRule="auto"/>
              <w:jc w:val="both"/>
              <w:rPr>
                <w:color w:val="000000"/>
                <w:sz w:val="23"/>
                <w:szCs w:val="23"/>
                <w:lang w:val="lt"/>
              </w:rPr>
            </w:pPr>
            <w:r w:rsidRPr="00AA4CE0">
              <w:rPr>
                <w:color w:val="000000"/>
                <w:sz w:val="23"/>
                <w:szCs w:val="23"/>
                <w:lang w:val="lt"/>
              </w:rPr>
              <w:t xml:space="preserve">1 – </w:t>
            </w:r>
            <w:r>
              <w:rPr>
                <w:color w:val="000000"/>
                <w:sz w:val="23"/>
                <w:szCs w:val="23"/>
                <w:lang w:val="lt"/>
              </w:rPr>
              <w:t>18</w:t>
            </w:r>
            <w:r w:rsidRPr="00AA4CE0">
              <w:rPr>
                <w:color w:val="000000"/>
                <w:sz w:val="23"/>
                <w:szCs w:val="23"/>
                <w:lang w:val="lt"/>
              </w:rPr>
              <w:t xml:space="preserve"> mok.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1F0732" w14:textId="3C17E9A8" w:rsidR="00C04188" w:rsidRPr="00B6646E" w:rsidRDefault="00C04188" w:rsidP="00DD56F9">
            <w:pPr>
              <w:spacing w:line="360" w:lineRule="auto"/>
              <w:jc w:val="both"/>
              <w:rPr>
                <w:color w:val="000000"/>
                <w:sz w:val="23"/>
                <w:szCs w:val="23"/>
                <w:lang w:val="lt"/>
              </w:rPr>
            </w:pPr>
            <w:r w:rsidRPr="00B6646E">
              <w:rPr>
                <w:color w:val="000000"/>
                <w:sz w:val="23"/>
                <w:szCs w:val="23"/>
                <w:lang w:val="lt"/>
              </w:rPr>
              <w:t>1 – 22 mok.</w:t>
            </w:r>
          </w:p>
        </w:tc>
      </w:tr>
      <w:tr w:rsidR="00C04188" w:rsidRPr="00AA4CE0" w14:paraId="01C478A0" w14:textId="77777777" w:rsidTr="00C04188">
        <w:trPr>
          <w:trHeight w:val="288"/>
          <w:jc w:val="center"/>
        </w:trPr>
        <w:tc>
          <w:tcPr>
            <w:tcW w:w="1003" w:type="dxa"/>
            <w:vMerge/>
            <w:tcBorders>
              <w:left w:val="single" w:sz="4" w:space="0" w:color="auto"/>
              <w:right w:val="single" w:sz="4" w:space="0" w:color="auto"/>
            </w:tcBorders>
            <w:shd w:val="clear" w:color="auto" w:fill="FFFFFF"/>
          </w:tcPr>
          <w:p w14:paraId="2AAFFD70"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bottom w:val="single" w:sz="4" w:space="0" w:color="auto"/>
              <w:right w:val="single" w:sz="4" w:space="0" w:color="auto"/>
            </w:tcBorders>
            <w:shd w:val="clear" w:color="auto" w:fill="FFFFFF"/>
          </w:tcPr>
          <w:p w14:paraId="3C9A8216"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Pradinė mokykla</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0E7D5C03" w14:textId="1BCCB469"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336 mok.</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7A3FA6A5" w14:textId="475780DC"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322 mok.</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E8F3AF" w14:textId="6E639196" w:rsidR="00C04188" w:rsidRPr="00AA4CE0" w:rsidRDefault="00C04188" w:rsidP="00DD56F9">
            <w:pPr>
              <w:spacing w:line="360" w:lineRule="auto"/>
              <w:jc w:val="both"/>
              <w:rPr>
                <w:color w:val="000000"/>
                <w:sz w:val="23"/>
                <w:szCs w:val="23"/>
                <w:lang w:val="lt"/>
              </w:rPr>
            </w:pPr>
            <w:r w:rsidRPr="00AA4CE0">
              <w:rPr>
                <w:color w:val="000000"/>
                <w:sz w:val="23"/>
                <w:szCs w:val="23"/>
                <w:lang w:val="lt"/>
              </w:rPr>
              <w:t>1 – 3</w:t>
            </w:r>
            <w:r>
              <w:rPr>
                <w:color w:val="000000"/>
                <w:sz w:val="23"/>
                <w:szCs w:val="23"/>
                <w:lang w:val="lt"/>
              </w:rPr>
              <w:t>06</w:t>
            </w:r>
            <w:r w:rsidRPr="00AA4CE0">
              <w:rPr>
                <w:color w:val="000000"/>
                <w:sz w:val="23"/>
                <w:szCs w:val="23"/>
                <w:lang w:val="lt"/>
              </w:rPr>
              <w:t xml:space="preserve"> mok.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D98891" w14:textId="7C6B9F34" w:rsidR="00C04188" w:rsidRPr="00B6646E" w:rsidRDefault="00C04188" w:rsidP="00DD56F9">
            <w:pPr>
              <w:spacing w:line="360" w:lineRule="auto"/>
              <w:jc w:val="both"/>
              <w:rPr>
                <w:color w:val="000000"/>
                <w:sz w:val="23"/>
                <w:szCs w:val="23"/>
                <w:lang w:val="lt"/>
              </w:rPr>
            </w:pPr>
            <w:r w:rsidRPr="00B6646E">
              <w:rPr>
                <w:color w:val="000000"/>
                <w:sz w:val="23"/>
                <w:szCs w:val="23"/>
                <w:lang w:val="lt"/>
              </w:rPr>
              <w:t>1 – 339 mok.</w:t>
            </w:r>
          </w:p>
        </w:tc>
      </w:tr>
      <w:tr w:rsidR="00C04188" w:rsidRPr="00AA4CE0" w14:paraId="24B78CB3" w14:textId="77777777" w:rsidTr="00C04188">
        <w:trPr>
          <w:trHeight w:val="418"/>
          <w:jc w:val="center"/>
        </w:trPr>
        <w:tc>
          <w:tcPr>
            <w:tcW w:w="1003" w:type="dxa"/>
            <w:vMerge/>
            <w:tcBorders>
              <w:left w:val="single" w:sz="4" w:space="0" w:color="auto"/>
              <w:right w:val="single" w:sz="4" w:space="0" w:color="auto"/>
            </w:tcBorders>
            <w:shd w:val="clear" w:color="auto" w:fill="FFFFFF"/>
          </w:tcPr>
          <w:p w14:paraId="6954369D"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right w:val="single" w:sz="4" w:space="0" w:color="auto"/>
            </w:tcBorders>
            <w:shd w:val="clear" w:color="auto" w:fill="FFFFFF"/>
          </w:tcPr>
          <w:p w14:paraId="5EC0107C"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Mokyklų skyriai</w:t>
            </w:r>
          </w:p>
        </w:tc>
        <w:tc>
          <w:tcPr>
            <w:tcW w:w="1518" w:type="dxa"/>
            <w:tcBorders>
              <w:top w:val="single" w:sz="4" w:space="0" w:color="auto"/>
              <w:left w:val="single" w:sz="4" w:space="0" w:color="auto"/>
              <w:right w:val="single" w:sz="4" w:space="0" w:color="auto"/>
            </w:tcBorders>
            <w:shd w:val="clear" w:color="auto" w:fill="FFFFFF"/>
          </w:tcPr>
          <w:p w14:paraId="094541A9" w14:textId="1731E648" w:rsidR="00C04188" w:rsidRPr="002D20A5" w:rsidRDefault="00C04188" w:rsidP="00DD56F9">
            <w:pPr>
              <w:spacing w:line="360" w:lineRule="auto"/>
              <w:jc w:val="both"/>
              <w:rPr>
                <w:color w:val="000000"/>
                <w:sz w:val="23"/>
                <w:szCs w:val="23"/>
                <w:highlight w:val="green"/>
                <w:lang w:val="lt"/>
              </w:rPr>
            </w:pPr>
            <w:r w:rsidRPr="00B6646E">
              <w:rPr>
                <w:color w:val="000000"/>
                <w:sz w:val="23"/>
                <w:szCs w:val="23"/>
                <w:lang w:val="lt"/>
              </w:rPr>
              <w:t>1 – 21 mok.</w:t>
            </w:r>
          </w:p>
        </w:tc>
        <w:tc>
          <w:tcPr>
            <w:tcW w:w="1458" w:type="dxa"/>
            <w:tcBorders>
              <w:top w:val="single" w:sz="4" w:space="0" w:color="auto"/>
              <w:left w:val="single" w:sz="4" w:space="0" w:color="auto"/>
              <w:right w:val="single" w:sz="4" w:space="0" w:color="auto"/>
            </w:tcBorders>
            <w:shd w:val="clear" w:color="auto" w:fill="FFFFFF"/>
          </w:tcPr>
          <w:p w14:paraId="40F4B75A" w14:textId="02F761CD" w:rsidR="00C04188" w:rsidRPr="00B6646E" w:rsidRDefault="00C04188" w:rsidP="00DD56F9">
            <w:pPr>
              <w:spacing w:line="360" w:lineRule="auto"/>
              <w:jc w:val="both"/>
              <w:rPr>
                <w:color w:val="000000"/>
                <w:sz w:val="23"/>
                <w:szCs w:val="23"/>
                <w:lang w:val="lt"/>
              </w:rPr>
            </w:pPr>
            <w:r w:rsidRPr="00B6646E">
              <w:rPr>
                <w:color w:val="000000"/>
                <w:sz w:val="23"/>
                <w:szCs w:val="23"/>
                <w:lang w:val="lt"/>
              </w:rPr>
              <w:t>2 – 60 mok.</w:t>
            </w:r>
          </w:p>
        </w:tc>
        <w:tc>
          <w:tcPr>
            <w:tcW w:w="1418" w:type="dxa"/>
            <w:tcBorders>
              <w:top w:val="single" w:sz="4" w:space="0" w:color="auto"/>
              <w:left w:val="single" w:sz="4" w:space="0" w:color="auto"/>
              <w:right w:val="single" w:sz="4" w:space="0" w:color="auto"/>
            </w:tcBorders>
            <w:shd w:val="clear" w:color="auto" w:fill="FFFFFF"/>
          </w:tcPr>
          <w:p w14:paraId="072AD210" w14:textId="7CD513AF" w:rsidR="00C04188" w:rsidRPr="00B6646E" w:rsidRDefault="00C04188" w:rsidP="00DD56F9">
            <w:pPr>
              <w:spacing w:line="360" w:lineRule="auto"/>
              <w:jc w:val="both"/>
              <w:rPr>
                <w:color w:val="000000"/>
                <w:sz w:val="23"/>
                <w:szCs w:val="23"/>
                <w:lang w:val="lt"/>
              </w:rPr>
            </w:pPr>
            <w:r w:rsidRPr="00B6646E">
              <w:rPr>
                <w:color w:val="000000"/>
                <w:sz w:val="23"/>
                <w:szCs w:val="23"/>
                <w:lang w:val="lt"/>
              </w:rPr>
              <w:t>2 – 61 mok.</w:t>
            </w:r>
          </w:p>
        </w:tc>
        <w:tc>
          <w:tcPr>
            <w:tcW w:w="1417" w:type="dxa"/>
            <w:tcBorders>
              <w:top w:val="single" w:sz="4" w:space="0" w:color="auto"/>
              <w:left w:val="single" w:sz="4" w:space="0" w:color="auto"/>
              <w:right w:val="single" w:sz="4" w:space="0" w:color="auto"/>
            </w:tcBorders>
            <w:shd w:val="clear" w:color="auto" w:fill="FFFFFF"/>
          </w:tcPr>
          <w:p w14:paraId="10C9658A" w14:textId="47C7918A" w:rsidR="00C04188" w:rsidRPr="00B6646E" w:rsidRDefault="00C04188" w:rsidP="00DD56F9">
            <w:pPr>
              <w:spacing w:line="360" w:lineRule="auto"/>
              <w:jc w:val="both"/>
              <w:rPr>
                <w:color w:val="000000"/>
                <w:sz w:val="23"/>
                <w:szCs w:val="23"/>
                <w:lang w:val="lt"/>
              </w:rPr>
            </w:pPr>
            <w:r w:rsidRPr="00B6646E">
              <w:rPr>
                <w:color w:val="000000"/>
                <w:sz w:val="23"/>
                <w:szCs w:val="23"/>
                <w:lang w:val="lt"/>
              </w:rPr>
              <w:t>3 – 93 mok.</w:t>
            </w:r>
          </w:p>
        </w:tc>
      </w:tr>
      <w:tr w:rsidR="00C04188" w:rsidRPr="00AA4CE0" w14:paraId="5A70B05F" w14:textId="77777777" w:rsidTr="00C04188">
        <w:trPr>
          <w:trHeight w:val="288"/>
          <w:jc w:val="center"/>
        </w:trPr>
        <w:tc>
          <w:tcPr>
            <w:tcW w:w="1003" w:type="dxa"/>
            <w:vMerge/>
            <w:tcBorders>
              <w:left w:val="single" w:sz="4" w:space="0" w:color="auto"/>
              <w:right w:val="single" w:sz="4" w:space="0" w:color="auto"/>
            </w:tcBorders>
            <w:shd w:val="clear" w:color="auto" w:fill="FFFFFF"/>
          </w:tcPr>
          <w:p w14:paraId="309D6221"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bottom w:val="single" w:sz="4" w:space="0" w:color="auto"/>
              <w:right w:val="single" w:sz="4" w:space="0" w:color="auto"/>
            </w:tcBorders>
            <w:shd w:val="clear" w:color="auto" w:fill="FFFFFF"/>
          </w:tcPr>
          <w:p w14:paraId="20CA612F"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Vaikų lopšeliai-darželiai</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0EFF0FB6" w14:textId="705C0C3B" w:rsidR="00C04188" w:rsidRPr="00AA4CE0" w:rsidRDefault="00C04188" w:rsidP="00DD56F9">
            <w:pPr>
              <w:spacing w:line="360" w:lineRule="auto"/>
              <w:jc w:val="both"/>
              <w:rPr>
                <w:color w:val="000000"/>
                <w:sz w:val="23"/>
                <w:szCs w:val="23"/>
                <w:lang w:val="lt"/>
              </w:rPr>
            </w:pPr>
            <w:r w:rsidRPr="00AA4CE0">
              <w:rPr>
                <w:color w:val="000000"/>
                <w:sz w:val="23"/>
                <w:szCs w:val="23"/>
                <w:lang w:val="lt"/>
              </w:rPr>
              <w:t>2 – 361 vaikas</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6A0A5F1B" w14:textId="676F9BD5" w:rsidR="00C04188" w:rsidRPr="00AA4CE0" w:rsidRDefault="00C04188" w:rsidP="00DD56F9">
            <w:pPr>
              <w:spacing w:line="360" w:lineRule="auto"/>
              <w:jc w:val="both"/>
              <w:rPr>
                <w:color w:val="000000"/>
                <w:sz w:val="23"/>
                <w:szCs w:val="23"/>
                <w:lang w:val="lt"/>
              </w:rPr>
            </w:pPr>
            <w:r w:rsidRPr="00AA4CE0">
              <w:rPr>
                <w:color w:val="000000"/>
                <w:sz w:val="23"/>
                <w:szCs w:val="23"/>
                <w:lang w:val="lt"/>
              </w:rPr>
              <w:t xml:space="preserve">2 – 349 </w:t>
            </w:r>
            <w:r>
              <w:rPr>
                <w:color w:val="000000"/>
                <w:sz w:val="23"/>
                <w:szCs w:val="23"/>
                <w:lang w:val="lt"/>
              </w:rPr>
              <w:t>vaikai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EF6C2C" w14:textId="15612BDE" w:rsidR="00C04188" w:rsidRPr="00AA4CE0" w:rsidRDefault="00C04188" w:rsidP="00DD56F9">
            <w:pPr>
              <w:spacing w:line="360" w:lineRule="auto"/>
              <w:jc w:val="both"/>
              <w:rPr>
                <w:color w:val="000000"/>
                <w:sz w:val="23"/>
                <w:szCs w:val="23"/>
                <w:lang w:val="lt"/>
              </w:rPr>
            </w:pPr>
            <w:r w:rsidRPr="00AA4CE0">
              <w:rPr>
                <w:color w:val="000000"/>
                <w:sz w:val="23"/>
                <w:szCs w:val="23"/>
                <w:lang w:val="lt"/>
              </w:rPr>
              <w:t>2 – 34</w:t>
            </w:r>
            <w:r>
              <w:rPr>
                <w:color w:val="000000"/>
                <w:sz w:val="23"/>
                <w:szCs w:val="23"/>
                <w:lang w:val="lt"/>
              </w:rPr>
              <w:t>3</w:t>
            </w:r>
            <w:r w:rsidRPr="00AA4CE0">
              <w:rPr>
                <w:color w:val="000000"/>
                <w:sz w:val="23"/>
                <w:szCs w:val="23"/>
                <w:lang w:val="lt"/>
              </w:rPr>
              <w:t xml:space="preserve"> </w:t>
            </w:r>
            <w:r>
              <w:rPr>
                <w:color w:val="000000"/>
                <w:sz w:val="23"/>
                <w:szCs w:val="23"/>
                <w:lang w:val="lt"/>
              </w:rPr>
              <w:t>vaikai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1593E6" w14:textId="4E273A84" w:rsidR="00C04188" w:rsidRPr="00B6646E" w:rsidRDefault="00C04188" w:rsidP="00DD56F9">
            <w:pPr>
              <w:spacing w:line="360" w:lineRule="auto"/>
              <w:jc w:val="both"/>
              <w:rPr>
                <w:color w:val="000000"/>
                <w:sz w:val="23"/>
                <w:szCs w:val="23"/>
                <w:lang w:val="lt"/>
              </w:rPr>
            </w:pPr>
            <w:r w:rsidRPr="00B6646E">
              <w:rPr>
                <w:color w:val="000000"/>
                <w:sz w:val="23"/>
                <w:szCs w:val="23"/>
                <w:lang w:val="lt"/>
              </w:rPr>
              <w:t>2 – 347 vaikai</w:t>
            </w:r>
          </w:p>
        </w:tc>
      </w:tr>
      <w:tr w:rsidR="00C04188" w:rsidRPr="00AA4CE0" w14:paraId="52F56709" w14:textId="77777777" w:rsidTr="00C04188">
        <w:trPr>
          <w:trHeight w:val="283"/>
          <w:jc w:val="center"/>
        </w:trPr>
        <w:tc>
          <w:tcPr>
            <w:tcW w:w="1003" w:type="dxa"/>
            <w:vMerge/>
            <w:tcBorders>
              <w:left w:val="single" w:sz="4" w:space="0" w:color="auto"/>
              <w:right w:val="single" w:sz="4" w:space="0" w:color="auto"/>
            </w:tcBorders>
            <w:shd w:val="clear" w:color="auto" w:fill="FFFFFF"/>
          </w:tcPr>
          <w:p w14:paraId="302B1291"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bottom w:val="single" w:sz="4" w:space="0" w:color="auto"/>
              <w:right w:val="single" w:sz="4" w:space="0" w:color="auto"/>
            </w:tcBorders>
            <w:shd w:val="clear" w:color="auto" w:fill="FFFFFF"/>
          </w:tcPr>
          <w:p w14:paraId="7F740749"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Vaikų darželių skyriai</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214867B8" w14:textId="164E167E" w:rsidR="00C04188" w:rsidRPr="00AA4CE0" w:rsidRDefault="00C04188" w:rsidP="00DD56F9">
            <w:pPr>
              <w:spacing w:line="360" w:lineRule="auto"/>
              <w:jc w:val="both"/>
              <w:rPr>
                <w:color w:val="000000"/>
                <w:sz w:val="23"/>
                <w:szCs w:val="23"/>
                <w:lang w:val="lt"/>
              </w:rPr>
            </w:pPr>
            <w:r w:rsidRPr="00AA4CE0">
              <w:rPr>
                <w:color w:val="000000"/>
                <w:sz w:val="23"/>
                <w:szCs w:val="23"/>
                <w:lang w:val="lt"/>
              </w:rPr>
              <w:t>4 – 91 vaikas</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71BFBC68" w14:textId="3FBA3A95" w:rsidR="00C04188" w:rsidRPr="00AA4CE0" w:rsidRDefault="00C04188" w:rsidP="00DD56F9">
            <w:pPr>
              <w:spacing w:line="360" w:lineRule="auto"/>
              <w:jc w:val="both"/>
              <w:rPr>
                <w:color w:val="000000"/>
                <w:sz w:val="23"/>
                <w:szCs w:val="23"/>
                <w:lang w:val="lt"/>
              </w:rPr>
            </w:pPr>
            <w:r w:rsidRPr="00AA4CE0">
              <w:rPr>
                <w:color w:val="000000"/>
                <w:sz w:val="23"/>
                <w:szCs w:val="23"/>
                <w:lang w:val="lt"/>
              </w:rPr>
              <w:t xml:space="preserve">4 – 102 </w:t>
            </w:r>
            <w:r>
              <w:rPr>
                <w:color w:val="000000"/>
                <w:sz w:val="23"/>
                <w:szCs w:val="23"/>
                <w:lang w:val="lt"/>
              </w:rPr>
              <w:t>vaikai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ABD552" w14:textId="4BDCB0E6" w:rsidR="00C04188" w:rsidRPr="00AA4CE0" w:rsidRDefault="00C04188" w:rsidP="00DD56F9">
            <w:pPr>
              <w:spacing w:line="360" w:lineRule="auto"/>
              <w:jc w:val="both"/>
              <w:rPr>
                <w:color w:val="000000"/>
                <w:sz w:val="23"/>
                <w:szCs w:val="23"/>
                <w:lang w:val="lt"/>
              </w:rPr>
            </w:pPr>
            <w:r w:rsidRPr="00AA4CE0">
              <w:rPr>
                <w:color w:val="000000"/>
                <w:sz w:val="23"/>
                <w:szCs w:val="23"/>
                <w:lang w:val="lt"/>
              </w:rPr>
              <w:t xml:space="preserve">4 – 104 </w:t>
            </w:r>
            <w:r>
              <w:rPr>
                <w:color w:val="000000"/>
                <w:sz w:val="23"/>
                <w:szCs w:val="23"/>
                <w:lang w:val="lt"/>
              </w:rPr>
              <w:t>vaikai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238839" w14:textId="51FCBC8F" w:rsidR="00C04188" w:rsidRPr="00B6646E" w:rsidRDefault="00C04188" w:rsidP="00DD56F9">
            <w:pPr>
              <w:spacing w:line="360" w:lineRule="auto"/>
              <w:jc w:val="both"/>
              <w:rPr>
                <w:color w:val="000000"/>
                <w:sz w:val="23"/>
                <w:szCs w:val="23"/>
                <w:lang w:val="lt"/>
              </w:rPr>
            </w:pPr>
            <w:r w:rsidRPr="00B6646E">
              <w:rPr>
                <w:color w:val="000000"/>
                <w:sz w:val="23"/>
                <w:szCs w:val="23"/>
                <w:lang w:val="lt"/>
              </w:rPr>
              <w:t>4 – 104 vaikai</w:t>
            </w:r>
          </w:p>
        </w:tc>
      </w:tr>
      <w:tr w:rsidR="00C04188" w:rsidRPr="00AA4CE0" w14:paraId="7452342A" w14:textId="77777777" w:rsidTr="00C04188">
        <w:trPr>
          <w:trHeight w:val="802"/>
          <w:jc w:val="center"/>
        </w:trPr>
        <w:tc>
          <w:tcPr>
            <w:tcW w:w="1003" w:type="dxa"/>
            <w:vMerge/>
            <w:tcBorders>
              <w:left w:val="single" w:sz="4" w:space="0" w:color="auto"/>
              <w:right w:val="single" w:sz="4" w:space="0" w:color="auto"/>
            </w:tcBorders>
            <w:shd w:val="clear" w:color="auto" w:fill="FFFFFF"/>
          </w:tcPr>
          <w:p w14:paraId="2B7EA47B"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right w:val="single" w:sz="4" w:space="0" w:color="auto"/>
            </w:tcBorders>
            <w:shd w:val="clear" w:color="auto" w:fill="FFFFFF"/>
          </w:tcPr>
          <w:p w14:paraId="3478BEDA"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Neformaliojo švietimo įstaigos</w:t>
            </w:r>
          </w:p>
        </w:tc>
        <w:tc>
          <w:tcPr>
            <w:tcW w:w="1518" w:type="dxa"/>
            <w:tcBorders>
              <w:top w:val="single" w:sz="4" w:space="0" w:color="auto"/>
              <w:left w:val="single" w:sz="4" w:space="0" w:color="auto"/>
              <w:right w:val="single" w:sz="4" w:space="0" w:color="auto"/>
            </w:tcBorders>
            <w:shd w:val="clear" w:color="auto" w:fill="FFFFFF"/>
          </w:tcPr>
          <w:p w14:paraId="173E8591" w14:textId="7A55FAFC" w:rsidR="00C04188" w:rsidRPr="00AA4CE0" w:rsidRDefault="00C04188" w:rsidP="00DD56F9">
            <w:pPr>
              <w:spacing w:line="360" w:lineRule="auto"/>
              <w:jc w:val="both"/>
              <w:rPr>
                <w:color w:val="000000"/>
                <w:sz w:val="23"/>
                <w:szCs w:val="23"/>
                <w:lang w:val="lt"/>
              </w:rPr>
            </w:pPr>
            <w:r w:rsidRPr="00AA4CE0">
              <w:rPr>
                <w:color w:val="000000"/>
                <w:sz w:val="23"/>
                <w:szCs w:val="23"/>
                <w:lang w:val="lt"/>
              </w:rPr>
              <w:t>2 – 498 mok.</w:t>
            </w:r>
          </w:p>
        </w:tc>
        <w:tc>
          <w:tcPr>
            <w:tcW w:w="1458" w:type="dxa"/>
            <w:tcBorders>
              <w:top w:val="single" w:sz="4" w:space="0" w:color="auto"/>
              <w:left w:val="single" w:sz="4" w:space="0" w:color="auto"/>
              <w:right w:val="single" w:sz="4" w:space="0" w:color="auto"/>
            </w:tcBorders>
            <w:shd w:val="clear" w:color="auto" w:fill="FFFFFF"/>
          </w:tcPr>
          <w:p w14:paraId="5496D362" w14:textId="66664ECD" w:rsidR="00C04188" w:rsidRPr="00AA4CE0" w:rsidRDefault="00C04188" w:rsidP="00DD56F9">
            <w:pPr>
              <w:spacing w:line="360" w:lineRule="auto"/>
              <w:jc w:val="both"/>
              <w:rPr>
                <w:color w:val="000000"/>
                <w:sz w:val="23"/>
                <w:szCs w:val="23"/>
                <w:lang w:val="lt"/>
              </w:rPr>
            </w:pPr>
            <w:r w:rsidRPr="00AA4CE0">
              <w:rPr>
                <w:color w:val="000000"/>
                <w:sz w:val="23"/>
                <w:szCs w:val="23"/>
                <w:lang w:val="lt"/>
              </w:rPr>
              <w:t>2 – 537 mok.</w:t>
            </w:r>
          </w:p>
        </w:tc>
        <w:tc>
          <w:tcPr>
            <w:tcW w:w="1418" w:type="dxa"/>
            <w:tcBorders>
              <w:top w:val="single" w:sz="4" w:space="0" w:color="auto"/>
              <w:left w:val="single" w:sz="4" w:space="0" w:color="auto"/>
              <w:right w:val="single" w:sz="4" w:space="0" w:color="auto"/>
            </w:tcBorders>
            <w:shd w:val="clear" w:color="auto" w:fill="FFFFFF"/>
          </w:tcPr>
          <w:p w14:paraId="393829EC" w14:textId="6C7B4BCE" w:rsidR="00C04188" w:rsidRPr="00AA4CE0" w:rsidRDefault="00C04188" w:rsidP="00DD56F9">
            <w:pPr>
              <w:spacing w:line="360" w:lineRule="auto"/>
              <w:jc w:val="both"/>
              <w:rPr>
                <w:color w:val="000000"/>
                <w:sz w:val="23"/>
                <w:szCs w:val="23"/>
                <w:lang w:val="lt"/>
              </w:rPr>
            </w:pPr>
            <w:r w:rsidRPr="00AA4CE0">
              <w:rPr>
                <w:color w:val="000000"/>
                <w:sz w:val="23"/>
                <w:szCs w:val="23"/>
                <w:lang w:val="lt"/>
              </w:rPr>
              <w:t>2 – 540 mok.</w:t>
            </w:r>
          </w:p>
        </w:tc>
        <w:tc>
          <w:tcPr>
            <w:tcW w:w="1417" w:type="dxa"/>
            <w:tcBorders>
              <w:top w:val="single" w:sz="4" w:space="0" w:color="auto"/>
              <w:left w:val="single" w:sz="4" w:space="0" w:color="auto"/>
              <w:right w:val="single" w:sz="4" w:space="0" w:color="auto"/>
            </w:tcBorders>
            <w:shd w:val="clear" w:color="auto" w:fill="FFFFFF"/>
          </w:tcPr>
          <w:p w14:paraId="3AAD1BFA" w14:textId="67DA9549" w:rsidR="00C04188" w:rsidRPr="00B6646E" w:rsidRDefault="00C04188" w:rsidP="00DD56F9">
            <w:pPr>
              <w:spacing w:line="360" w:lineRule="auto"/>
              <w:jc w:val="both"/>
              <w:rPr>
                <w:color w:val="000000"/>
                <w:sz w:val="23"/>
                <w:szCs w:val="23"/>
                <w:lang w:val="lt"/>
              </w:rPr>
            </w:pPr>
            <w:r w:rsidRPr="00B6646E">
              <w:rPr>
                <w:color w:val="000000"/>
                <w:sz w:val="23"/>
                <w:szCs w:val="23"/>
                <w:lang w:val="lt"/>
              </w:rPr>
              <w:t>2 – 533 mok.</w:t>
            </w:r>
          </w:p>
        </w:tc>
      </w:tr>
      <w:tr w:rsidR="00C04188" w:rsidRPr="00AA4CE0" w14:paraId="1270C415" w14:textId="77777777" w:rsidTr="00C04188">
        <w:trPr>
          <w:trHeight w:val="298"/>
          <w:jc w:val="center"/>
        </w:trPr>
        <w:tc>
          <w:tcPr>
            <w:tcW w:w="1003" w:type="dxa"/>
            <w:tcBorders>
              <w:left w:val="single" w:sz="4" w:space="0" w:color="auto"/>
              <w:bottom w:val="single" w:sz="4" w:space="0" w:color="auto"/>
              <w:right w:val="single" w:sz="4" w:space="0" w:color="auto"/>
            </w:tcBorders>
            <w:shd w:val="clear" w:color="auto" w:fill="FFFFFF"/>
          </w:tcPr>
          <w:p w14:paraId="10A820DA" w14:textId="77777777" w:rsidR="00C04188" w:rsidRPr="00AA4CE0" w:rsidRDefault="00C04188" w:rsidP="00DD56F9">
            <w:pPr>
              <w:spacing w:line="360" w:lineRule="auto"/>
              <w:jc w:val="both"/>
              <w:rPr>
                <w:rFonts w:ascii="Microsoft Sans Serif" w:eastAsia="Microsoft Sans Serif" w:hAnsi="Microsoft Sans Serif" w:cs="Microsoft Sans Serif"/>
                <w:color w:val="000000"/>
                <w:lang w:val="lt"/>
              </w:rPr>
            </w:pPr>
          </w:p>
        </w:tc>
        <w:tc>
          <w:tcPr>
            <w:tcW w:w="2253" w:type="dxa"/>
            <w:tcBorders>
              <w:top w:val="single" w:sz="4" w:space="0" w:color="auto"/>
              <w:left w:val="single" w:sz="4" w:space="0" w:color="auto"/>
              <w:bottom w:val="single" w:sz="4" w:space="0" w:color="auto"/>
              <w:right w:val="single" w:sz="4" w:space="0" w:color="auto"/>
            </w:tcBorders>
            <w:shd w:val="clear" w:color="auto" w:fill="FFFFFF"/>
          </w:tcPr>
          <w:p w14:paraId="1D010CC3" w14:textId="77777777" w:rsidR="00C04188" w:rsidRPr="00AA4CE0" w:rsidRDefault="00C04188" w:rsidP="00DD56F9">
            <w:pPr>
              <w:spacing w:line="360" w:lineRule="auto"/>
              <w:ind w:left="120"/>
              <w:jc w:val="both"/>
              <w:rPr>
                <w:color w:val="000000"/>
                <w:sz w:val="23"/>
                <w:szCs w:val="23"/>
                <w:lang w:val="lt"/>
              </w:rPr>
            </w:pPr>
            <w:r w:rsidRPr="00AA4CE0">
              <w:rPr>
                <w:color w:val="000000"/>
                <w:sz w:val="23"/>
                <w:szCs w:val="23"/>
                <w:lang w:val="lt"/>
              </w:rPr>
              <w:t>Viešosios įstaigos</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14:paraId="4C5345D8" w14:textId="4F8A911A" w:rsidR="00C04188" w:rsidRPr="00AA4CE0" w:rsidRDefault="00C04188" w:rsidP="00DD56F9">
            <w:pPr>
              <w:spacing w:line="360" w:lineRule="auto"/>
              <w:jc w:val="both"/>
              <w:rPr>
                <w:color w:val="000000"/>
                <w:sz w:val="23"/>
                <w:szCs w:val="23"/>
                <w:lang w:val="lt"/>
              </w:rPr>
            </w:pPr>
            <w:r>
              <w:rPr>
                <w:color w:val="000000"/>
                <w:sz w:val="23"/>
                <w:szCs w:val="23"/>
                <w:lang w:val="lt"/>
              </w:rPr>
              <w:t>1 – 10 mok.</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14:paraId="31AB415E" w14:textId="7DEA0528" w:rsidR="00C04188" w:rsidRPr="00AA4CE0" w:rsidRDefault="00C04188" w:rsidP="00DD56F9">
            <w:pPr>
              <w:spacing w:line="360" w:lineRule="auto"/>
              <w:jc w:val="both"/>
              <w:rPr>
                <w:color w:val="000000"/>
                <w:sz w:val="23"/>
                <w:szCs w:val="23"/>
                <w:lang w:val="lt"/>
              </w:rPr>
            </w:pPr>
            <w:r w:rsidRPr="00AA4CE0">
              <w:rPr>
                <w:color w:val="000000"/>
                <w:sz w:val="23"/>
                <w:szCs w:val="23"/>
                <w:lang w:val="lt"/>
              </w:rPr>
              <w:t>1– 13 mok.</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1F77B15" w14:textId="51181F63" w:rsidR="00C04188" w:rsidRPr="00AA4CE0" w:rsidRDefault="00C04188" w:rsidP="00DD56F9">
            <w:pPr>
              <w:spacing w:line="360" w:lineRule="auto"/>
              <w:jc w:val="both"/>
              <w:rPr>
                <w:color w:val="000000"/>
                <w:sz w:val="23"/>
                <w:szCs w:val="23"/>
                <w:lang w:val="lt"/>
              </w:rPr>
            </w:pPr>
            <w:r w:rsidRPr="00AA4CE0">
              <w:rPr>
                <w:color w:val="000000"/>
                <w:sz w:val="23"/>
                <w:szCs w:val="23"/>
                <w:lang w:val="lt"/>
              </w:rPr>
              <w:t xml:space="preserve">2 – </w:t>
            </w:r>
            <w:r>
              <w:rPr>
                <w:color w:val="000000"/>
                <w:sz w:val="23"/>
                <w:szCs w:val="23"/>
                <w:lang w:val="lt"/>
              </w:rPr>
              <w:t>31</w:t>
            </w:r>
            <w:r w:rsidRPr="00AA4CE0">
              <w:rPr>
                <w:color w:val="000000"/>
                <w:sz w:val="23"/>
                <w:szCs w:val="23"/>
                <w:lang w:val="lt"/>
              </w:rPr>
              <w:t xml:space="preserve"> mok.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39967D" w14:textId="479DFB78" w:rsidR="00C04188" w:rsidRPr="00B6646E" w:rsidRDefault="00C04188" w:rsidP="00DD56F9">
            <w:pPr>
              <w:spacing w:line="360" w:lineRule="auto"/>
              <w:jc w:val="both"/>
              <w:rPr>
                <w:color w:val="000000"/>
                <w:sz w:val="23"/>
                <w:szCs w:val="23"/>
                <w:lang w:val="lt"/>
              </w:rPr>
            </w:pPr>
            <w:r w:rsidRPr="00B6646E">
              <w:rPr>
                <w:color w:val="000000"/>
                <w:sz w:val="23"/>
                <w:szCs w:val="23"/>
                <w:lang w:val="lt"/>
              </w:rPr>
              <w:t>2 – 40 mok.</w:t>
            </w:r>
          </w:p>
        </w:tc>
      </w:tr>
    </w:tbl>
    <w:p w14:paraId="4D039823" w14:textId="77777777" w:rsidR="00B6646E" w:rsidRDefault="008B66FD" w:rsidP="00DD56F9">
      <w:pPr>
        <w:tabs>
          <w:tab w:val="left" w:pos="900"/>
        </w:tabs>
        <w:spacing w:line="360" w:lineRule="auto"/>
        <w:ind w:firstLine="539"/>
        <w:jc w:val="both"/>
      </w:pPr>
      <w:r w:rsidRPr="00AA4CE0">
        <w:tab/>
      </w:r>
    </w:p>
    <w:p w14:paraId="4490D097" w14:textId="36AE0506" w:rsidR="008B66FD" w:rsidRPr="00AA4CE0" w:rsidRDefault="008B66FD" w:rsidP="00DD56F9">
      <w:pPr>
        <w:tabs>
          <w:tab w:val="left" w:pos="900"/>
        </w:tabs>
        <w:spacing w:line="360" w:lineRule="auto"/>
        <w:ind w:firstLine="539"/>
        <w:jc w:val="both"/>
      </w:pPr>
      <w:r w:rsidRPr="00AA4CE0">
        <w:t>202</w:t>
      </w:r>
      <w:r w:rsidR="006B33BA">
        <w:t>3</w:t>
      </w:r>
      <w:r w:rsidRPr="00AA4CE0">
        <w:t xml:space="preserve"> m. </w:t>
      </w:r>
      <w:r w:rsidR="00C04188">
        <w:t xml:space="preserve">švietimo </w:t>
      </w:r>
      <w:r w:rsidR="000B39D3">
        <w:t>įstaigų reorganizacija arba likvidavimas nebuvo</w:t>
      </w:r>
      <w:r w:rsidR="003B5CFB">
        <w:t xml:space="preserve"> vykdomi.</w:t>
      </w:r>
    </w:p>
    <w:p w14:paraId="5CF035E3" w14:textId="77777777" w:rsidR="00E27391" w:rsidRDefault="008B66FD" w:rsidP="00DD56F9">
      <w:pPr>
        <w:tabs>
          <w:tab w:val="left" w:pos="3119"/>
        </w:tabs>
        <w:spacing w:line="360" w:lineRule="auto"/>
        <w:ind w:right="-1"/>
        <w:jc w:val="both"/>
        <w:rPr>
          <w:b/>
          <w:color w:val="000000"/>
        </w:rPr>
      </w:pPr>
      <w:r w:rsidRPr="00AA4CE0">
        <w:rPr>
          <w:b/>
          <w:color w:val="000000"/>
        </w:rPr>
        <w:t xml:space="preserve">                            </w:t>
      </w:r>
    </w:p>
    <w:p w14:paraId="4D126AE2" w14:textId="77777777" w:rsidR="00E27391" w:rsidRDefault="00E27391" w:rsidP="00DD56F9">
      <w:pPr>
        <w:tabs>
          <w:tab w:val="left" w:pos="3119"/>
        </w:tabs>
        <w:spacing w:line="360" w:lineRule="auto"/>
        <w:ind w:right="-1"/>
        <w:jc w:val="both"/>
        <w:rPr>
          <w:b/>
          <w:color w:val="000000"/>
        </w:rPr>
      </w:pPr>
    </w:p>
    <w:p w14:paraId="31BAA570" w14:textId="569B4507" w:rsidR="008B66FD" w:rsidRPr="00AA4CE0" w:rsidRDefault="008B66FD" w:rsidP="00DD56F9">
      <w:pPr>
        <w:tabs>
          <w:tab w:val="left" w:pos="3119"/>
        </w:tabs>
        <w:spacing w:line="360" w:lineRule="auto"/>
        <w:ind w:right="-1"/>
        <w:jc w:val="both"/>
        <w:rPr>
          <w:b/>
          <w:color w:val="000000"/>
        </w:rPr>
      </w:pPr>
      <w:r w:rsidRPr="00AA4CE0">
        <w:rPr>
          <w:b/>
          <w:color w:val="000000"/>
        </w:rPr>
        <w:t>Mokinių skaičiaus 1 – 12 klasėse pokytis</w:t>
      </w:r>
    </w:p>
    <w:p w14:paraId="60699386" w14:textId="77777777" w:rsidR="008B66FD" w:rsidRPr="00AA4CE0" w:rsidRDefault="008B66FD" w:rsidP="00DD56F9">
      <w:pPr>
        <w:spacing w:line="360" w:lineRule="auto"/>
        <w:ind w:firstLine="709"/>
        <w:jc w:val="both"/>
        <w:rPr>
          <w:b/>
        </w:rPr>
      </w:pPr>
      <w:r w:rsidRPr="00AA4CE0">
        <w:rPr>
          <w:b/>
          <w:noProof/>
        </w:rPr>
        <w:drawing>
          <wp:inline distT="0" distB="0" distL="0" distR="0" wp14:anchorId="2AF317BB" wp14:editId="4AE22A70">
            <wp:extent cx="5819775" cy="2923540"/>
            <wp:effectExtent l="0" t="0" r="0" b="0"/>
            <wp:docPr id="1" name="Objektas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4D73B7" w14:textId="1D02748B" w:rsidR="008B66FD" w:rsidRPr="00AA4CE0" w:rsidRDefault="008B66FD" w:rsidP="00DD56F9">
      <w:pPr>
        <w:tabs>
          <w:tab w:val="left" w:pos="900"/>
        </w:tabs>
        <w:spacing w:line="360" w:lineRule="auto"/>
        <w:ind w:firstLine="539"/>
        <w:jc w:val="both"/>
      </w:pPr>
      <w:r w:rsidRPr="00B6646E">
        <w:t>2023 m. lyginant su 2022 m. mokinių skaičius 1 – 12 klasėse</w:t>
      </w:r>
      <w:r w:rsidR="003B5CFB" w:rsidRPr="00B6646E">
        <w:t xml:space="preserve"> pirmą kartą per 5 metus</w:t>
      </w:r>
      <w:r w:rsidRPr="00B6646E">
        <w:t xml:space="preserve"> padidėjo</w:t>
      </w:r>
      <w:r w:rsidR="003B5CFB" w:rsidRPr="00B6646E">
        <w:t>.</w:t>
      </w:r>
      <w:r w:rsidRPr="00B6646E">
        <w:t xml:space="preserve"> </w:t>
      </w:r>
      <w:r w:rsidR="003B5CFB" w:rsidRPr="00B6646E">
        <w:t xml:space="preserve">Mokinių skaičius padidėjo </w:t>
      </w:r>
      <w:r w:rsidRPr="00B6646E">
        <w:t>17. Tai sudaro 1,1 proc.</w:t>
      </w:r>
    </w:p>
    <w:p w14:paraId="2F5D0CDF" w14:textId="3FCAE36B" w:rsidR="008B66FD" w:rsidRPr="00AA4CE0" w:rsidRDefault="008B66FD" w:rsidP="004D16E7">
      <w:pPr>
        <w:spacing w:line="360" w:lineRule="auto"/>
        <w:ind w:firstLine="539"/>
        <w:jc w:val="both"/>
      </w:pPr>
      <w:r w:rsidRPr="00AA4CE0">
        <w:t xml:space="preserve"> Ikimokyklinis ir priešmokyklinis ugdymas buvo teiktas Molėtų „Saulutės“ vaikų lopšelyje-darželyje, Molėtų „Vyturėlio“ vaikų lopšelyje-darželyje bei 4 jo  kaimo skyriuose, 2 bendrojo ugdymo mokyklose, 2 mokyklų skyriuose, VšĮ „Kaimynystės namai“, VšĮ „Stipri šeima“.</w:t>
      </w:r>
      <w:r w:rsidR="00F95378">
        <w:t xml:space="preserve"> Bendrasis ugdymas buvo teiktas Molėtų pradinėje mokykloje, Molėtų progimnazijoje, Molėtų gimnazijoje, Molėtų r. Alantos gimnazijoje, Molėtų r. Giedraičių Antano Jaroševičiaus gimnazijoje ir Molėtų r. </w:t>
      </w:r>
      <w:proofErr w:type="spellStart"/>
      <w:r w:rsidR="00F95378">
        <w:t>Kijėlių</w:t>
      </w:r>
      <w:proofErr w:type="spellEnd"/>
      <w:r w:rsidR="00F95378">
        <w:t xml:space="preserve"> specialiojo ugdymo centre. Neformalusis ir formalųjį švietimą papildantis ugdymas buvo teikiamas Molėtų r. kūno kultūros ir sporto centre ir Molėtų menų mokykloje.</w:t>
      </w:r>
    </w:p>
    <w:p w14:paraId="2D4110EA" w14:textId="77777777" w:rsidR="008B66FD" w:rsidRPr="00AA4CE0" w:rsidRDefault="008B66FD" w:rsidP="00DD56F9">
      <w:pPr>
        <w:tabs>
          <w:tab w:val="left" w:pos="900"/>
        </w:tabs>
        <w:spacing w:line="360" w:lineRule="auto"/>
        <w:jc w:val="both"/>
        <w:outlineLvl w:val="0"/>
        <w:rPr>
          <w:b/>
          <w:color w:val="FF0000"/>
        </w:rPr>
      </w:pPr>
      <w:r w:rsidRPr="00AA4CE0">
        <w:rPr>
          <w:b/>
        </w:rPr>
        <w:t xml:space="preserve">Švietimo įstaigų finansavimas tūkst. eurų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76"/>
        <w:gridCol w:w="7"/>
        <w:gridCol w:w="978"/>
        <w:gridCol w:w="934"/>
        <w:gridCol w:w="11"/>
        <w:gridCol w:w="946"/>
        <w:gridCol w:w="974"/>
        <w:gridCol w:w="17"/>
        <w:gridCol w:w="1057"/>
        <w:gridCol w:w="969"/>
        <w:gridCol w:w="19"/>
        <w:gridCol w:w="969"/>
        <w:gridCol w:w="876"/>
      </w:tblGrid>
      <w:tr w:rsidR="008B66FD" w:rsidRPr="00AA4CE0" w14:paraId="0955BAF1" w14:textId="77777777" w:rsidTr="00F95378">
        <w:tc>
          <w:tcPr>
            <w:tcW w:w="1878" w:type="dxa"/>
            <w:gridSpan w:val="3"/>
          </w:tcPr>
          <w:p w14:paraId="1723206F" w14:textId="77777777" w:rsidR="008B66FD" w:rsidRPr="00AA4CE0" w:rsidRDefault="008B66FD" w:rsidP="00DD56F9">
            <w:pPr>
              <w:spacing w:line="360" w:lineRule="auto"/>
              <w:jc w:val="both"/>
            </w:pPr>
            <w:r w:rsidRPr="00AA4CE0">
              <w:t>2019 metai</w:t>
            </w:r>
          </w:p>
        </w:tc>
        <w:tc>
          <w:tcPr>
            <w:tcW w:w="1923" w:type="dxa"/>
            <w:gridSpan w:val="3"/>
          </w:tcPr>
          <w:p w14:paraId="399FF07B" w14:textId="77777777" w:rsidR="008B66FD" w:rsidRPr="00AA4CE0" w:rsidRDefault="008B66FD" w:rsidP="00DD56F9">
            <w:pPr>
              <w:spacing w:line="360" w:lineRule="auto"/>
              <w:jc w:val="both"/>
            </w:pPr>
            <w:r w:rsidRPr="00AA4CE0">
              <w:t>2020 metai</w:t>
            </w:r>
          </w:p>
        </w:tc>
        <w:tc>
          <w:tcPr>
            <w:tcW w:w="1937" w:type="dxa"/>
            <w:gridSpan w:val="3"/>
          </w:tcPr>
          <w:p w14:paraId="47D97454" w14:textId="77777777" w:rsidR="008B66FD" w:rsidRPr="00AA4CE0" w:rsidRDefault="008B66FD" w:rsidP="00DD56F9">
            <w:pPr>
              <w:spacing w:line="360" w:lineRule="auto"/>
              <w:jc w:val="both"/>
            </w:pPr>
            <w:r w:rsidRPr="00AA4CE0">
              <w:t>2021 metai</w:t>
            </w:r>
          </w:p>
        </w:tc>
        <w:tc>
          <w:tcPr>
            <w:tcW w:w="2045" w:type="dxa"/>
            <w:gridSpan w:val="3"/>
          </w:tcPr>
          <w:p w14:paraId="7C508597" w14:textId="77777777" w:rsidR="008B66FD" w:rsidRPr="00B6646E" w:rsidRDefault="008B66FD" w:rsidP="00DD56F9">
            <w:pPr>
              <w:spacing w:line="360" w:lineRule="auto"/>
              <w:jc w:val="both"/>
            </w:pPr>
            <w:r w:rsidRPr="00B6646E">
              <w:t>2022 metai</w:t>
            </w:r>
          </w:p>
        </w:tc>
        <w:tc>
          <w:tcPr>
            <w:tcW w:w="1845" w:type="dxa"/>
            <w:gridSpan w:val="2"/>
          </w:tcPr>
          <w:p w14:paraId="3821F235" w14:textId="77777777" w:rsidR="008B66FD" w:rsidRPr="00B6646E" w:rsidRDefault="008B66FD" w:rsidP="00DD56F9">
            <w:pPr>
              <w:spacing w:line="360" w:lineRule="auto"/>
              <w:jc w:val="both"/>
            </w:pPr>
            <w:r w:rsidRPr="00B6646E">
              <w:t>2023 metai</w:t>
            </w:r>
          </w:p>
        </w:tc>
      </w:tr>
      <w:tr w:rsidR="008B66FD" w:rsidRPr="00AA4CE0" w14:paraId="26C82F0C" w14:textId="77777777" w:rsidTr="00F95378">
        <w:trPr>
          <w:cantSplit/>
          <w:trHeight w:val="1593"/>
        </w:trPr>
        <w:tc>
          <w:tcPr>
            <w:tcW w:w="995" w:type="dxa"/>
            <w:textDirection w:val="btLr"/>
          </w:tcPr>
          <w:p w14:paraId="38F1614E" w14:textId="77777777" w:rsidR="008B66FD" w:rsidRPr="00AA4CE0" w:rsidRDefault="008B66FD" w:rsidP="00DD56F9">
            <w:pPr>
              <w:spacing w:line="360" w:lineRule="auto"/>
              <w:ind w:left="113" w:right="113"/>
              <w:jc w:val="both"/>
            </w:pPr>
            <w:r w:rsidRPr="00AA4CE0">
              <w:t>Iš viso asignavimų</w:t>
            </w:r>
          </w:p>
        </w:tc>
        <w:tc>
          <w:tcPr>
            <w:tcW w:w="876" w:type="dxa"/>
            <w:textDirection w:val="btLr"/>
          </w:tcPr>
          <w:p w14:paraId="1F2EB831" w14:textId="77777777" w:rsidR="008B66FD" w:rsidRPr="00AA4CE0" w:rsidRDefault="008B66FD" w:rsidP="00DD56F9">
            <w:pPr>
              <w:spacing w:line="360" w:lineRule="auto"/>
              <w:ind w:left="113" w:right="113"/>
              <w:jc w:val="both"/>
            </w:pPr>
            <w:r w:rsidRPr="00AA4CE0">
              <w:t>MK lėšos</w:t>
            </w:r>
          </w:p>
        </w:tc>
        <w:tc>
          <w:tcPr>
            <w:tcW w:w="985" w:type="dxa"/>
            <w:gridSpan w:val="2"/>
            <w:textDirection w:val="btLr"/>
          </w:tcPr>
          <w:p w14:paraId="5E5CF4E2" w14:textId="77777777" w:rsidR="008B66FD" w:rsidRPr="00AA4CE0" w:rsidRDefault="008B66FD" w:rsidP="00DD56F9">
            <w:pPr>
              <w:spacing w:line="360" w:lineRule="auto"/>
              <w:ind w:left="113" w:right="113"/>
              <w:jc w:val="both"/>
            </w:pPr>
            <w:r w:rsidRPr="00AA4CE0">
              <w:t>Iš viso asignavimų</w:t>
            </w:r>
          </w:p>
        </w:tc>
        <w:tc>
          <w:tcPr>
            <w:tcW w:w="934" w:type="dxa"/>
            <w:textDirection w:val="btLr"/>
          </w:tcPr>
          <w:p w14:paraId="2F2B6E13" w14:textId="77777777" w:rsidR="008B66FD" w:rsidRPr="00AA4CE0" w:rsidRDefault="008B66FD" w:rsidP="00DD56F9">
            <w:pPr>
              <w:spacing w:line="360" w:lineRule="auto"/>
              <w:ind w:left="113" w:right="113"/>
              <w:jc w:val="both"/>
            </w:pPr>
            <w:r w:rsidRPr="00AA4CE0">
              <w:t>Mokymo lėšos</w:t>
            </w:r>
          </w:p>
        </w:tc>
        <w:tc>
          <w:tcPr>
            <w:tcW w:w="957" w:type="dxa"/>
            <w:gridSpan w:val="2"/>
            <w:textDirection w:val="btLr"/>
          </w:tcPr>
          <w:p w14:paraId="302A9EED" w14:textId="77777777" w:rsidR="008B66FD" w:rsidRPr="00AA4CE0" w:rsidRDefault="008B66FD" w:rsidP="00DD56F9">
            <w:pPr>
              <w:spacing w:line="360" w:lineRule="auto"/>
              <w:ind w:left="113" w:right="113"/>
              <w:jc w:val="both"/>
            </w:pPr>
            <w:r w:rsidRPr="00AA4CE0">
              <w:t>Iš viso asignavimų</w:t>
            </w:r>
          </w:p>
        </w:tc>
        <w:tc>
          <w:tcPr>
            <w:tcW w:w="974" w:type="dxa"/>
            <w:textDirection w:val="btLr"/>
          </w:tcPr>
          <w:p w14:paraId="6E1FC3A2" w14:textId="77777777" w:rsidR="008B66FD" w:rsidRPr="00AA4CE0" w:rsidRDefault="008B66FD" w:rsidP="00DD56F9">
            <w:pPr>
              <w:spacing w:line="360" w:lineRule="auto"/>
              <w:ind w:left="113" w:right="113"/>
              <w:jc w:val="both"/>
            </w:pPr>
            <w:r w:rsidRPr="00AA4CE0">
              <w:t>Mokymo lėšos</w:t>
            </w:r>
          </w:p>
        </w:tc>
        <w:tc>
          <w:tcPr>
            <w:tcW w:w="1074" w:type="dxa"/>
            <w:gridSpan w:val="2"/>
            <w:textDirection w:val="btLr"/>
          </w:tcPr>
          <w:p w14:paraId="53A12060" w14:textId="77777777" w:rsidR="008B66FD" w:rsidRPr="00AA4CE0" w:rsidRDefault="008B66FD" w:rsidP="00DD56F9">
            <w:pPr>
              <w:spacing w:line="360" w:lineRule="auto"/>
              <w:ind w:left="113" w:right="113"/>
              <w:jc w:val="both"/>
            </w:pPr>
            <w:r w:rsidRPr="00AA4CE0">
              <w:t>Iš viso asignavimų</w:t>
            </w:r>
          </w:p>
        </w:tc>
        <w:tc>
          <w:tcPr>
            <w:tcW w:w="969" w:type="dxa"/>
            <w:textDirection w:val="btLr"/>
          </w:tcPr>
          <w:p w14:paraId="6763ECE5" w14:textId="77777777" w:rsidR="008B66FD" w:rsidRPr="00AA4CE0" w:rsidRDefault="008B66FD" w:rsidP="00DD56F9">
            <w:pPr>
              <w:spacing w:line="360" w:lineRule="auto"/>
              <w:ind w:left="113" w:right="113"/>
              <w:jc w:val="both"/>
            </w:pPr>
            <w:r w:rsidRPr="00AA4CE0">
              <w:t>Mokymo lėšos</w:t>
            </w:r>
          </w:p>
        </w:tc>
        <w:tc>
          <w:tcPr>
            <w:tcW w:w="988" w:type="dxa"/>
            <w:gridSpan w:val="2"/>
            <w:textDirection w:val="btLr"/>
          </w:tcPr>
          <w:p w14:paraId="7F840E37" w14:textId="77777777" w:rsidR="008B66FD" w:rsidRPr="00B6646E" w:rsidRDefault="008B66FD" w:rsidP="00DD56F9">
            <w:pPr>
              <w:spacing w:line="360" w:lineRule="auto"/>
              <w:ind w:left="113" w:right="113"/>
              <w:jc w:val="both"/>
            </w:pPr>
            <w:r w:rsidRPr="00B6646E">
              <w:t>Iš viso asignavimų</w:t>
            </w:r>
          </w:p>
        </w:tc>
        <w:tc>
          <w:tcPr>
            <w:tcW w:w="876" w:type="dxa"/>
            <w:textDirection w:val="btLr"/>
          </w:tcPr>
          <w:p w14:paraId="08224BF2" w14:textId="77777777" w:rsidR="008B66FD" w:rsidRPr="00B6646E" w:rsidRDefault="008B66FD" w:rsidP="00DD56F9">
            <w:pPr>
              <w:spacing w:line="360" w:lineRule="auto"/>
              <w:ind w:left="113" w:right="113"/>
              <w:jc w:val="both"/>
            </w:pPr>
            <w:r w:rsidRPr="00B6646E">
              <w:t>Mokymo lėšos</w:t>
            </w:r>
          </w:p>
        </w:tc>
      </w:tr>
      <w:tr w:rsidR="008B66FD" w:rsidRPr="00AA4CE0" w14:paraId="2C874BCD" w14:textId="77777777" w:rsidTr="00F95378">
        <w:tc>
          <w:tcPr>
            <w:tcW w:w="995" w:type="dxa"/>
          </w:tcPr>
          <w:p w14:paraId="68C1B8AC" w14:textId="77777777" w:rsidR="008B66FD" w:rsidRPr="00AA4CE0" w:rsidRDefault="008B66FD" w:rsidP="00DD56F9">
            <w:pPr>
              <w:spacing w:line="360" w:lineRule="auto"/>
              <w:jc w:val="both"/>
            </w:pPr>
            <w:r w:rsidRPr="00AA4CE0">
              <w:t>7355,6</w:t>
            </w:r>
          </w:p>
        </w:tc>
        <w:tc>
          <w:tcPr>
            <w:tcW w:w="876" w:type="dxa"/>
          </w:tcPr>
          <w:p w14:paraId="6AD68C1A" w14:textId="77777777" w:rsidR="008B66FD" w:rsidRPr="00AA4CE0" w:rsidRDefault="008B66FD" w:rsidP="00DD56F9">
            <w:pPr>
              <w:spacing w:line="360" w:lineRule="auto"/>
              <w:jc w:val="both"/>
            </w:pPr>
            <w:r w:rsidRPr="00AA4CE0">
              <w:t>3783,8</w:t>
            </w:r>
          </w:p>
        </w:tc>
        <w:tc>
          <w:tcPr>
            <w:tcW w:w="985" w:type="dxa"/>
            <w:gridSpan w:val="2"/>
          </w:tcPr>
          <w:p w14:paraId="43C9B7AF" w14:textId="77777777" w:rsidR="008B66FD" w:rsidRPr="00AA4CE0" w:rsidRDefault="008B66FD" w:rsidP="00DD56F9">
            <w:pPr>
              <w:spacing w:line="360" w:lineRule="auto"/>
              <w:jc w:val="both"/>
            </w:pPr>
            <w:r w:rsidRPr="00AA4CE0">
              <w:t>7731,3</w:t>
            </w:r>
          </w:p>
        </w:tc>
        <w:tc>
          <w:tcPr>
            <w:tcW w:w="934" w:type="dxa"/>
          </w:tcPr>
          <w:p w14:paraId="2C988054" w14:textId="77777777" w:rsidR="008B66FD" w:rsidRPr="00AA4CE0" w:rsidRDefault="008B66FD" w:rsidP="00DD56F9">
            <w:pPr>
              <w:spacing w:line="360" w:lineRule="auto"/>
              <w:jc w:val="both"/>
            </w:pPr>
            <w:r w:rsidRPr="00AA4CE0">
              <w:t>3944</w:t>
            </w:r>
          </w:p>
        </w:tc>
        <w:tc>
          <w:tcPr>
            <w:tcW w:w="957" w:type="dxa"/>
            <w:gridSpan w:val="2"/>
          </w:tcPr>
          <w:p w14:paraId="717FE27D" w14:textId="77777777" w:rsidR="008B66FD" w:rsidRPr="00AA4CE0" w:rsidRDefault="008B66FD" w:rsidP="00DD56F9">
            <w:pPr>
              <w:spacing w:line="360" w:lineRule="auto"/>
              <w:jc w:val="both"/>
            </w:pPr>
            <w:r w:rsidRPr="00AA4CE0">
              <w:t>7977,4</w:t>
            </w:r>
          </w:p>
        </w:tc>
        <w:tc>
          <w:tcPr>
            <w:tcW w:w="974" w:type="dxa"/>
          </w:tcPr>
          <w:p w14:paraId="5220DCA8" w14:textId="77777777" w:rsidR="008B66FD" w:rsidRPr="00AA4CE0" w:rsidRDefault="008B66FD" w:rsidP="00DD56F9">
            <w:pPr>
              <w:spacing w:line="360" w:lineRule="auto"/>
              <w:jc w:val="both"/>
            </w:pPr>
            <w:r w:rsidRPr="00AA4CE0">
              <w:t>4333,3</w:t>
            </w:r>
          </w:p>
        </w:tc>
        <w:tc>
          <w:tcPr>
            <w:tcW w:w="1074" w:type="dxa"/>
            <w:gridSpan w:val="2"/>
          </w:tcPr>
          <w:p w14:paraId="51BDEDA0" w14:textId="77777777" w:rsidR="008B66FD" w:rsidRPr="00AA4CE0" w:rsidRDefault="008B66FD" w:rsidP="00DD56F9">
            <w:pPr>
              <w:spacing w:line="360" w:lineRule="auto"/>
              <w:jc w:val="both"/>
            </w:pPr>
            <w:r w:rsidRPr="00AA4CE0">
              <w:t>9708,7</w:t>
            </w:r>
          </w:p>
        </w:tc>
        <w:tc>
          <w:tcPr>
            <w:tcW w:w="969" w:type="dxa"/>
          </w:tcPr>
          <w:p w14:paraId="7E51EFBC" w14:textId="77777777" w:rsidR="008B66FD" w:rsidRPr="00AA4CE0" w:rsidRDefault="008B66FD" w:rsidP="00DD56F9">
            <w:pPr>
              <w:spacing w:line="360" w:lineRule="auto"/>
              <w:jc w:val="both"/>
            </w:pPr>
            <w:r w:rsidRPr="00AA4CE0">
              <w:t>5113,9</w:t>
            </w:r>
          </w:p>
        </w:tc>
        <w:tc>
          <w:tcPr>
            <w:tcW w:w="988" w:type="dxa"/>
            <w:gridSpan w:val="2"/>
          </w:tcPr>
          <w:p w14:paraId="2866EC9E" w14:textId="77777777" w:rsidR="008B66FD" w:rsidRPr="00B6646E" w:rsidRDefault="008B66FD" w:rsidP="00DD56F9">
            <w:pPr>
              <w:spacing w:line="360" w:lineRule="auto"/>
              <w:jc w:val="both"/>
            </w:pPr>
            <w:r w:rsidRPr="00B6646E">
              <w:t>11004,2</w:t>
            </w:r>
          </w:p>
        </w:tc>
        <w:tc>
          <w:tcPr>
            <w:tcW w:w="876" w:type="dxa"/>
          </w:tcPr>
          <w:p w14:paraId="0F9043D7" w14:textId="77777777" w:rsidR="008B66FD" w:rsidRPr="00B6646E" w:rsidRDefault="008B66FD" w:rsidP="00DD56F9">
            <w:pPr>
              <w:spacing w:line="360" w:lineRule="auto"/>
              <w:jc w:val="both"/>
            </w:pPr>
            <w:r w:rsidRPr="00B6646E">
              <w:t>5746,0</w:t>
            </w:r>
          </w:p>
        </w:tc>
      </w:tr>
    </w:tbl>
    <w:p w14:paraId="1C928DA1" w14:textId="77777777" w:rsidR="00D63959" w:rsidRDefault="00D63959" w:rsidP="00DD56F9">
      <w:pPr>
        <w:spacing w:after="200" w:line="360" w:lineRule="auto"/>
        <w:contextualSpacing/>
        <w:jc w:val="both"/>
        <w:rPr>
          <w:rFonts w:eastAsia="Calibri" w:cs="Times New Roman"/>
          <w:b/>
          <w:kern w:val="0"/>
          <w:szCs w:val="24"/>
          <w14:ligatures w14:val="none"/>
        </w:rPr>
      </w:pPr>
    </w:p>
    <w:p w14:paraId="278E666A" w14:textId="77777777" w:rsidR="00B6646E" w:rsidRDefault="00B6646E" w:rsidP="00DD56F9">
      <w:pPr>
        <w:spacing w:after="200" w:line="360" w:lineRule="auto"/>
        <w:contextualSpacing/>
        <w:jc w:val="both"/>
        <w:rPr>
          <w:rFonts w:eastAsia="Calibri" w:cs="Times New Roman"/>
          <w:b/>
          <w:kern w:val="0"/>
          <w:szCs w:val="24"/>
          <w14:ligatures w14:val="none"/>
        </w:rPr>
      </w:pPr>
    </w:p>
    <w:p w14:paraId="0066A2D7" w14:textId="77777777" w:rsidR="00B6646E" w:rsidRDefault="00B6646E" w:rsidP="00DD56F9">
      <w:pPr>
        <w:spacing w:after="200" w:line="360" w:lineRule="auto"/>
        <w:contextualSpacing/>
        <w:jc w:val="both"/>
        <w:rPr>
          <w:rFonts w:eastAsia="Calibri" w:cs="Times New Roman"/>
          <w:b/>
          <w:kern w:val="0"/>
          <w:szCs w:val="24"/>
          <w14:ligatures w14:val="none"/>
        </w:rPr>
      </w:pPr>
    </w:p>
    <w:p w14:paraId="174C9069" w14:textId="77777777" w:rsidR="00B6646E" w:rsidRDefault="00B6646E" w:rsidP="00DD56F9">
      <w:pPr>
        <w:spacing w:after="200" w:line="360" w:lineRule="auto"/>
        <w:contextualSpacing/>
        <w:jc w:val="both"/>
        <w:rPr>
          <w:rFonts w:eastAsia="Calibri" w:cs="Times New Roman"/>
          <w:b/>
          <w:kern w:val="0"/>
          <w:szCs w:val="24"/>
          <w14:ligatures w14:val="none"/>
        </w:rPr>
      </w:pPr>
    </w:p>
    <w:p w14:paraId="05E40666" w14:textId="77777777" w:rsidR="00516B95" w:rsidRDefault="00516B95" w:rsidP="00DD56F9">
      <w:pPr>
        <w:spacing w:after="200" w:line="360" w:lineRule="auto"/>
        <w:contextualSpacing/>
        <w:jc w:val="both"/>
        <w:rPr>
          <w:rFonts w:eastAsia="Calibri" w:cs="Times New Roman"/>
          <w:b/>
          <w:kern w:val="0"/>
          <w:szCs w:val="24"/>
          <w14:ligatures w14:val="none"/>
        </w:rPr>
      </w:pPr>
    </w:p>
    <w:p w14:paraId="703AF6BB" w14:textId="77777777" w:rsidR="00516B95" w:rsidRDefault="00516B95" w:rsidP="00DD56F9">
      <w:pPr>
        <w:spacing w:after="200" w:line="360" w:lineRule="auto"/>
        <w:contextualSpacing/>
        <w:jc w:val="both"/>
        <w:rPr>
          <w:rFonts w:eastAsia="Calibri" w:cs="Times New Roman"/>
          <w:b/>
          <w:kern w:val="0"/>
          <w:szCs w:val="24"/>
          <w14:ligatures w14:val="none"/>
        </w:rPr>
      </w:pPr>
      <w:r w:rsidRPr="00B23206">
        <w:rPr>
          <w:rFonts w:eastAsia="Calibri" w:cs="Times New Roman"/>
          <w:b/>
          <w:kern w:val="0"/>
          <w:szCs w:val="24"/>
          <w14:ligatures w14:val="none"/>
        </w:rPr>
        <w:lastRenderedPageBreak/>
        <w:t>Ugdomų 1-5 metų dalis/pokytis (</w:t>
      </w:r>
      <w:r w:rsidRPr="00B23206">
        <w:rPr>
          <w:rFonts w:eastAsia="Calibri" w:cs="Times New Roman"/>
          <w:b/>
          <w:kern w:val="0"/>
          <w:szCs w:val="24"/>
          <w:lang w:val="en-US"/>
          <w14:ligatures w14:val="none"/>
        </w:rPr>
        <w:t xml:space="preserve">proc.) </w:t>
      </w:r>
      <w:r w:rsidRPr="00B23206">
        <w:rPr>
          <w:rFonts w:eastAsia="Calibri" w:cs="Times New Roman"/>
          <w:b/>
          <w:kern w:val="0"/>
          <w:szCs w:val="24"/>
          <w14:ligatures w14:val="none"/>
        </w:rPr>
        <w:t>lyginant su bendru to amžiaus vaikų skaičiumi</w:t>
      </w:r>
    </w:p>
    <w:p w14:paraId="21186962" w14:textId="77777777" w:rsidR="00516B95" w:rsidRPr="00B23206" w:rsidRDefault="00516B95" w:rsidP="00DD56F9">
      <w:pPr>
        <w:spacing w:after="200" w:line="360" w:lineRule="auto"/>
        <w:contextualSpacing/>
        <w:jc w:val="both"/>
        <w:rPr>
          <w:rFonts w:eastAsia="Calibri" w:cs="Times New Roman"/>
          <w:b/>
          <w:kern w:val="0"/>
          <w:szCs w:val="24"/>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16B95" w:rsidRPr="00D225CB" w14:paraId="26AF584E" w14:textId="77777777" w:rsidTr="00381AA7">
        <w:tc>
          <w:tcPr>
            <w:tcW w:w="3118" w:type="dxa"/>
          </w:tcPr>
          <w:p w14:paraId="408F9B69" w14:textId="77777777" w:rsidR="00516B95" w:rsidRPr="00D225CB"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 xml:space="preserve">2020-2021 m. m. </w:t>
            </w:r>
          </w:p>
        </w:tc>
        <w:tc>
          <w:tcPr>
            <w:tcW w:w="3118" w:type="dxa"/>
          </w:tcPr>
          <w:p w14:paraId="6049D792" w14:textId="77777777" w:rsidR="00516B95" w:rsidRPr="00D225CB"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2021-2022 m. m.</w:t>
            </w:r>
          </w:p>
        </w:tc>
        <w:tc>
          <w:tcPr>
            <w:tcW w:w="3118" w:type="dxa"/>
            <w:shd w:val="clear" w:color="auto" w:fill="auto"/>
          </w:tcPr>
          <w:p w14:paraId="0BDFE05F" w14:textId="77777777" w:rsidR="00516B95" w:rsidRPr="00A959DA" w:rsidRDefault="00516B95" w:rsidP="00DD56F9">
            <w:pPr>
              <w:spacing w:after="0" w:line="360" w:lineRule="auto"/>
              <w:jc w:val="both"/>
              <w:rPr>
                <w:rFonts w:eastAsia="Calibri" w:cs="Times New Roman"/>
                <w:kern w:val="0"/>
                <w:szCs w:val="24"/>
                <w:lang w:val="en-US" w:eastAsia="lt-LT"/>
                <w14:ligatures w14:val="none"/>
              </w:rPr>
            </w:pPr>
            <w:r w:rsidRPr="00A959DA">
              <w:rPr>
                <w:rFonts w:eastAsia="Calibri" w:cs="Times New Roman"/>
                <w:kern w:val="0"/>
                <w:szCs w:val="24"/>
                <w:lang w:val="en-US" w:eastAsia="lt-LT"/>
                <w14:ligatures w14:val="none"/>
              </w:rPr>
              <w:t xml:space="preserve">2022-2023 m. m. </w:t>
            </w:r>
          </w:p>
        </w:tc>
      </w:tr>
      <w:tr w:rsidR="00516B95" w:rsidRPr="00D225CB" w14:paraId="5480C935" w14:textId="77777777" w:rsidTr="00381AA7">
        <w:tc>
          <w:tcPr>
            <w:tcW w:w="3118" w:type="dxa"/>
          </w:tcPr>
          <w:p w14:paraId="2FDB803A" w14:textId="77777777" w:rsidR="00516B95" w:rsidRPr="00D225CB"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380 vaikai</w:t>
            </w:r>
          </w:p>
        </w:tc>
        <w:tc>
          <w:tcPr>
            <w:tcW w:w="3118" w:type="dxa"/>
          </w:tcPr>
          <w:p w14:paraId="12D30D63" w14:textId="77777777" w:rsidR="00516B95" w:rsidRPr="00D225CB"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371 vaikai</w:t>
            </w:r>
          </w:p>
        </w:tc>
        <w:tc>
          <w:tcPr>
            <w:tcW w:w="3118" w:type="dxa"/>
            <w:shd w:val="clear" w:color="auto" w:fill="auto"/>
          </w:tcPr>
          <w:p w14:paraId="45B53A0C" w14:textId="77777777" w:rsidR="00516B95" w:rsidRPr="00A959DA" w:rsidRDefault="00516B95" w:rsidP="00DD56F9">
            <w:pPr>
              <w:spacing w:after="0" w:line="360" w:lineRule="auto"/>
              <w:jc w:val="both"/>
              <w:rPr>
                <w:rFonts w:eastAsia="Calibri" w:cs="Times New Roman"/>
                <w:kern w:val="0"/>
                <w:szCs w:val="24"/>
                <w:lang w:eastAsia="lt-LT"/>
                <w14:ligatures w14:val="none"/>
              </w:rPr>
            </w:pPr>
            <w:r w:rsidRPr="00A959DA">
              <w:rPr>
                <w:rFonts w:eastAsia="Calibri" w:cs="Times New Roman"/>
                <w:kern w:val="0"/>
                <w:szCs w:val="24"/>
                <w:lang w:eastAsia="lt-LT"/>
                <w14:ligatures w14:val="none"/>
              </w:rPr>
              <w:t xml:space="preserve">417 </w:t>
            </w:r>
            <w:r>
              <w:rPr>
                <w:rFonts w:eastAsia="Calibri" w:cs="Times New Roman"/>
                <w:kern w:val="0"/>
                <w:szCs w:val="24"/>
                <w:lang w:eastAsia="lt-LT"/>
                <w14:ligatures w14:val="none"/>
              </w:rPr>
              <w:t>vaikai</w:t>
            </w:r>
          </w:p>
        </w:tc>
      </w:tr>
      <w:tr w:rsidR="00516B95" w:rsidRPr="00B23206" w14:paraId="30062E2C" w14:textId="77777777" w:rsidTr="00381AA7">
        <w:tc>
          <w:tcPr>
            <w:tcW w:w="3118" w:type="dxa"/>
          </w:tcPr>
          <w:p w14:paraId="6BB3D0D7" w14:textId="77777777" w:rsidR="00516B95" w:rsidRPr="00D225CB"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68,3 proc. (+7,9)</w:t>
            </w:r>
          </w:p>
        </w:tc>
        <w:tc>
          <w:tcPr>
            <w:tcW w:w="3118" w:type="dxa"/>
          </w:tcPr>
          <w:p w14:paraId="6C5FB918" w14:textId="77777777" w:rsidR="00516B95" w:rsidRPr="00D225CB"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79,1 proc. (+10,8)</w:t>
            </w:r>
          </w:p>
        </w:tc>
        <w:tc>
          <w:tcPr>
            <w:tcW w:w="3118" w:type="dxa"/>
            <w:shd w:val="clear" w:color="auto" w:fill="auto"/>
          </w:tcPr>
          <w:p w14:paraId="2F4CCAA0"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Pr>
                <w:rFonts w:eastAsia="Calibri" w:cs="Times New Roman"/>
                <w:kern w:val="0"/>
                <w:szCs w:val="24"/>
                <w:lang w:val="en-US" w:eastAsia="lt-LT"/>
                <w14:ligatures w14:val="none"/>
              </w:rPr>
              <w:t>76,5 proc. (-2,6)</w:t>
            </w:r>
          </w:p>
        </w:tc>
      </w:tr>
    </w:tbl>
    <w:p w14:paraId="782623D9" w14:textId="77777777" w:rsidR="00516B95" w:rsidRPr="00B23206" w:rsidRDefault="00516B95" w:rsidP="00DD56F9">
      <w:pPr>
        <w:spacing w:after="200" w:line="360" w:lineRule="auto"/>
        <w:contextualSpacing/>
        <w:jc w:val="both"/>
        <w:rPr>
          <w:rFonts w:eastAsia="Calibri" w:cs="Times New Roman"/>
          <w:b/>
          <w:kern w:val="0"/>
          <w:szCs w:val="24"/>
          <w14:ligatures w14:val="none"/>
        </w:rPr>
      </w:pPr>
    </w:p>
    <w:p w14:paraId="77A06B89" w14:textId="56CA5419" w:rsidR="004D16E7" w:rsidRDefault="004D16E7" w:rsidP="00DD56F9">
      <w:pPr>
        <w:tabs>
          <w:tab w:val="left" w:pos="8222"/>
        </w:tabs>
        <w:spacing w:after="0" w:line="360" w:lineRule="auto"/>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 xml:space="preserve">     </w:t>
      </w:r>
      <w:r w:rsidR="00516B95">
        <w:rPr>
          <w:rFonts w:eastAsia="Times New Roman" w:cs="Times New Roman"/>
          <w:kern w:val="0"/>
          <w:szCs w:val="24"/>
          <w:lang w:eastAsia="lt-LT"/>
          <w14:ligatures w14:val="none"/>
        </w:rPr>
        <w:t>Šiek tiek sumažėjo u</w:t>
      </w:r>
      <w:r w:rsidR="00516B95" w:rsidRPr="00A959DA">
        <w:rPr>
          <w:rFonts w:eastAsia="Times New Roman" w:cs="Times New Roman"/>
          <w:kern w:val="0"/>
          <w:szCs w:val="24"/>
          <w:lang w:eastAsia="lt-LT"/>
          <w14:ligatures w14:val="none"/>
        </w:rPr>
        <w:t xml:space="preserve">gdomų 1-5 metų vaikų dalis. Metų pokytis </w:t>
      </w:r>
      <w:r w:rsidR="00516B95" w:rsidRPr="00051B18">
        <w:rPr>
          <w:rFonts w:eastAsia="Times New Roman" w:cs="Times New Roman"/>
          <w:kern w:val="0"/>
          <w:szCs w:val="24"/>
          <w:lang w:eastAsia="lt-LT"/>
          <w14:ligatures w14:val="none"/>
        </w:rPr>
        <w:t>-2,6 proc</w:t>
      </w:r>
      <w:r w:rsidR="00516B95" w:rsidRPr="00051B18">
        <w:rPr>
          <w:rFonts w:eastAsia="Times New Roman" w:cs="Times New Roman"/>
          <w:b/>
          <w:kern w:val="0"/>
          <w:szCs w:val="24"/>
          <w:lang w:eastAsia="lt-LT"/>
          <w14:ligatures w14:val="none"/>
        </w:rPr>
        <w:t>.</w:t>
      </w:r>
      <w:r w:rsidR="00516B95" w:rsidRPr="00B23206">
        <w:rPr>
          <w:rFonts w:eastAsia="Times New Roman" w:cs="Times New Roman"/>
          <w:b/>
          <w:kern w:val="0"/>
          <w:szCs w:val="24"/>
          <w:lang w:eastAsia="lt-LT"/>
          <w14:ligatures w14:val="none"/>
        </w:rPr>
        <w:t xml:space="preserve"> </w:t>
      </w:r>
      <w:r w:rsidR="00516B95" w:rsidRPr="00B23206">
        <w:rPr>
          <w:rFonts w:eastAsia="Times New Roman" w:cs="Times New Roman"/>
          <w:kern w:val="0"/>
          <w:szCs w:val="24"/>
          <w:lang w:eastAsia="lt-LT"/>
          <w14:ligatures w14:val="none"/>
        </w:rPr>
        <w:t>Nors tėvų poreikis ugdyti ikimokyklinio amžiaus vaikus tenkinamas, ikimokyklinio ugdymo prieinamumo didinimas</w:t>
      </w:r>
      <w:r w:rsidR="00516B95">
        <w:rPr>
          <w:rFonts w:eastAsia="Times New Roman" w:cs="Times New Roman"/>
          <w:kern w:val="0"/>
          <w:szCs w:val="24"/>
          <w:lang w:eastAsia="lt-LT"/>
          <w14:ligatures w14:val="none"/>
        </w:rPr>
        <w:t xml:space="preserve"> dar</w:t>
      </w:r>
      <w:r w:rsidR="00516B95" w:rsidRPr="00B23206">
        <w:rPr>
          <w:rFonts w:eastAsia="Times New Roman" w:cs="Times New Roman"/>
          <w:kern w:val="0"/>
          <w:szCs w:val="24"/>
          <w:lang w:eastAsia="lt-LT"/>
          <w14:ligatures w14:val="none"/>
        </w:rPr>
        <w:t xml:space="preserve"> aktualus. </w:t>
      </w:r>
    </w:p>
    <w:p w14:paraId="5809AC69" w14:textId="779C3BAC" w:rsidR="00516B95" w:rsidRPr="004D16E7" w:rsidRDefault="004D16E7" w:rsidP="00DD56F9">
      <w:pPr>
        <w:tabs>
          <w:tab w:val="left" w:pos="8222"/>
        </w:tabs>
        <w:spacing w:after="0" w:line="360" w:lineRule="auto"/>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 xml:space="preserve">     </w:t>
      </w:r>
      <w:r w:rsidR="00516B95" w:rsidRPr="00B23206">
        <w:rPr>
          <w:rFonts w:eastAsia="Times New Roman" w:cs="Times New Roman"/>
          <w:kern w:val="0"/>
          <w:szCs w:val="24"/>
          <w:lang w:eastAsia="lt-LT"/>
          <w14:ligatures w14:val="none"/>
        </w:rPr>
        <w:t>Buvo parengti  administracijos direktoriaus įsakymų projektai dėl privalomo ikimokyklinio ugdymo skyrimo vaikams, augantiems socialinę riziką patiriančiose šeimose. 202</w:t>
      </w:r>
      <w:r w:rsidR="00516B95" w:rsidRPr="003B6681">
        <w:rPr>
          <w:rFonts w:eastAsia="Times New Roman" w:cs="Times New Roman"/>
          <w:kern w:val="0"/>
          <w:szCs w:val="24"/>
          <w:lang w:eastAsia="lt-LT"/>
          <w14:ligatures w14:val="none"/>
        </w:rPr>
        <w:t>3</w:t>
      </w:r>
      <w:r w:rsidR="00516B95" w:rsidRPr="00B23206">
        <w:rPr>
          <w:rFonts w:eastAsia="Times New Roman" w:cs="Times New Roman"/>
          <w:kern w:val="0"/>
          <w:szCs w:val="24"/>
          <w:lang w:eastAsia="lt-LT"/>
          <w14:ligatures w14:val="none"/>
        </w:rPr>
        <w:t xml:space="preserve"> m. </w:t>
      </w:r>
      <w:r w:rsidR="00516B95" w:rsidRPr="003B6681">
        <w:rPr>
          <w:rFonts w:eastAsia="Times New Roman" w:cs="Times New Roman"/>
          <w:kern w:val="0"/>
          <w:szCs w:val="24"/>
          <w:lang w:eastAsia="lt-LT"/>
          <w14:ligatures w14:val="none"/>
        </w:rPr>
        <w:t xml:space="preserve">trims </w:t>
      </w:r>
      <w:r w:rsidR="00516B95" w:rsidRPr="00B23206">
        <w:rPr>
          <w:rFonts w:eastAsia="Times New Roman" w:cs="Times New Roman"/>
          <w:kern w:val="0"/>
          <w:szCs w:val="24"/>
          <w:lang w:eastAsia="lt-LT"/>
          <w14:ligatures w14:val="none"/>
        </w:rPr>
        <w:t>vaikams buvo paskirtas privalomas ikimokyklinis ugdymas. Visi šie vaikai pavežami į ugdymo įstaigas.</w:t>
      </w:r>
    </w:p>
    <w:p w14:paraId="06281FD9" w14:textId="77777777" w:rsidR="00516B95" w:rsidRPr="00B23206" w:rsidRDefault="00516B95" w:rsidP="00DD56F9">
      <w:pPr>
        <w:spacing w:after="0" w:line="360" w:lineRule="auto"/>
        <w:ind w:firstLine="1296"/>
        <w:jc w:val="both"/>
        <w:rPr>
          <w:rFonts w:eastAsia="Times New Roman" w:cs="Times New Roman"/>
          <w:caps/>
          <w:noProof/>
          <w:kern w:val="0"/>
          <w:szCs w:val="24"/>
          <w:lang w:eastAsia="lt-LT"/>
          <w14:ligatures w14:val="none"/>
        </w:rPr>
      </w:pPr>
    </w:p>
    <w:p w14:paraId="4C5A8A4B" w14:textId="77777777" w:rsidR="00516B95" w:rsidRPr="00B23206" w:rsidRDefault="00516B95" w:rsidP="00DD56F9">
      <w:pPr>
        <w:spacing w:after="200" w:line="360" w:lineRule="auto"/>
        <w:contextualSpacing/>
        <w:jc w:val="both"/>
        <w:rPr>
          <w:rFonts w:eastAsia="Calibri" w:cs="Times New Roman"/>
          <w:b/>
          <w:kern w:val="0"/>
          <w:szCs w:val="24"/>
          <w14:ligatures w14:val="none"/>
        </w:rPr>
      </w:pPr>
      <w:r w:rsidRPr="00B23206">
        <w:rPr>
          <w:rFonts w:eastAsia="Calibri" w:cs="Times New Roman"/>
          <w:b/>
          <w:kern w:val="0"/>
          <w:szCs w:val="24"/>
          <w14:ligatures w14:val="none"/>
        </w:rPr>
        <w:t>Ugdomų 6 metų vaikų dalis/pokytis (proc.) lyginant su bendru to amžiaus vaikų skaičiumi</w:t>
      </w:r>
    </w:p>
    <w:p w14:paraId="48783D81" w14:textId="77777777" w:rsidR="00516B95" w:rsidRPr="00B23206" w:rsidRDefault="00516B95" w:rsidP="00DD56F9">
      <w:pPr>
        <w:spacing w:after="200" w:line="360" w:lineRule="auto"/>
        <w:contextualSpacing/>
        <w:jc w:val="both"/>
        <w:rPr>
          <w:rFonts w:eastAsia="Calibri" w:cs="Times New Roman"/>
          <w:b/>
          <w:kern w:val="0"/>
          <w:szCs w:val="24"/>
          <w14:ligatures w14:val="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516B95" w:rsidRPr="00B23206" w14:paraId="6E446680" w14:textId="77777777" w:rsidTr="00381AA7">
        <w:tc>
          <w:tcPr>
            <w:tcW w:w="2835" w:type="dxa"/>
          </w:tcPr>
          <w:p w14:paraId="47DC6B09"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val="en-US" w:eastAsia="lt-LT"/>
                <w14:ligatures w14:val="none"/>
              </w:rPr>
              <w:t>2020-2021 m. m.</w:t>
            </w:r>
          </w:p>
        </w:tc>
        <w:tc>
          <w:tcPr>
            <w:tcW w:w="2835" w:type="dxa"/>
          </w:tcPr>
          <w:p w14:paraId="6E0304B2"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val="en-US" w:eastAsia="lt-LT"/>
                <w14:ligatures w14:val="none"/>
              </w:rPr>
              <w:t xml:space="preserve">2021-2022 m. m. </w:t>
            </w:r>
          </w:p>
        </w:tc>
        <w:tc>
          <w:tcPr>
            <w:tcW w:w="2835" w:type="dxa"/>
            <w:shd w:val="clear" w:color="auto" w:fill="auto"/>
          </w:tcPr>
          <w:p w14:paraId="04D804FF" w14:textId="77777777" w:rsidR="00516B95" w:rsidRPr="00A959DA" w:rsidRDefault="00516B95" w:rsidP="00DD56F9">
            <w:pPr>
              <w:spacing w:after="0" w:line="360" w:lineRule="auto"/>
              <w:jc w:val="both"/>
              <w:rPr>
                <w:rFonts w:eastAsia="Calibri" w:cs="Times New Roman"/>
                <w:kern w:val="0"/>
                <w:szCs w:val="24"/>
                <w:lang w:eastAsia="lt-LT"/>
                <w14:ligatures w14:val="none"/>
              </w:rPr>
            </w:pPr>
            <w:r w:rsidRPr="00A959DA">
              <w:rPr>
                <w:rFonts w:eastAsia="Calibri" w:cs="Times New Roman"/>
                <w:kern w:val="0"/>
                <w:szCs w:val="24"/>
                <w:lang w:eastAsia="lt-LT"/>
                <w14:ligatures w14:val="none"/>
              </w:rPr>
              <w:t>2022-2023 m. m.</w:t>
            </w:r>
          </w:p>
        </w:tc>
      </w:tr>
      <w:tr w:rsidR="00516B95" w:rsidRPr="00B23206" w14:paraId="750DDC7B" w14:textId="77777777" w:rsidTr="00381AA7">
        <w:trPr>
          <w:trHeight w:val="492"/>
        </w:trPr>
        <w:tc>
          <w:tcPr>
            <w:tcW w:w="2835" w:type="dxa"/>
          </w:tcPr>
          <w:p w14:paraId="511D41B9"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 xml:space="preserve">124 </w:t>
            </w:r>
            <w:r w:rsidRPr="00B23206">
              <w:rPr>
                <w:rFonts w:eastAsia="Calibri" w:cs="Times New Roman"/>
                <w:kern w:val="0"/>
                <w:szCs w:val="24"/>
                <w:lang w:eastAsia="lt-LT"/>
                <w14:ligatures w14:val="none"/>
              </w:rPr>
              <w:t>vaikai</w:t>
            </w:r>
          </w:p>
        </w:tc>
        <w:tc>
          <w:tcPr>
            <w:tcW w:w="2835" w:type="dxa"/>
          </w:tcPr>
          <w:p w14:paraId="6A6F2E8C"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 xml:space="preserve">115 </w:t>
            </w:r>
            <w:r w:rsidRPr="00B23206">
              <w:rPr>
                <w:rFonts w:eastAsia="Calibri" w:cs="Times New Roman"/>
                <w:kern w:val="0"/>
                <w:szCs w:val="24"/>
                <w:lang w:eastAsia="lt-LT"/>
                <w14:ligatures w14:val="none"/>
              </w:rPr>
              <w:t>vaikų</w:t>
            </w:r>
          </w:p>
        </w:tc>
        <w:tc>
          <w:tcPr>
            <w:tcW w:w="2835" w:type="dxa"/>
            <w:shd w:val="clear" w:color="auto" w:fill="auto"/>
          </w:tcPr>
          <w:p w14:paraId="4659909E" w14:textId="77777777" w:rsidR="00516B95" w:rsidRPr="00A959DA" w:rsidRDefault="00516B95" w:rsidP="00DD56F9">
            <w:pPr>
              <w:spacing w:after="0" w:line="360" w:lineRule="auto"/>
              <w:jc w:val="both"/>
              <w:rPr>
                <w:rFonts w:eastAsia="Calibri" w:cs="Times New Roman"/>
                <w:kern w:val="0"/>
                <w:szCs w:val="24"/>
                <w:lang w:val="en-US" w:eastAsia="lt-LT"/>
                <w14:ligatures w14:val="none"/>
              </w:rPr>
            </w:pPr>
            <w:r w:rsidRPr="00A959DA">
              <w:rPr>
                <w:rFonts w:eastAsia="Calibri" w:cs="Times New Roman"/>
                <w:kern w:val="0"/>
                <w:szCs w:val="24"/>
                <w:lang w:val="en-US" w:eastAsia="lt-LT"/>
                <w14:ligatures w14:val="none"/>
              </w:rPr>
              <w:t xml:space="preserve">120 </w:t>
            </w:r>
            <w:proofErr w:type="spellStart"/>
            <w:r w:rsidRPr="00A959DA">
              <w:rPr>
                <w:rFonts w:eastAsia="Calibri" w:cs="Times New Roman"/>
                <w:kern w:val="0"/>
                <w:szCs w:val="24"/>
                <w:lang w:val="en-US" w:eastAsia="lt-LT"/>
                <w14:ligatures w14:val="none"/>
              </w:rPr>
              <w:t>vaikų</w:t>
            </w:r>
            <w:proofErr w:type="spellEnd"/>
            <w:r w:rsidRPr="00A959DA">
              <w:rPr>
                <w:rFonts w:eastAsia="Calibri" w:cs="Times New Roman"/>
                <w:kern w:val="0"/>
                <w:szCs w:val="24"/>
                <w:lang w:val="en-US" w:eastAsia="lt-LT"/>
                <w14:ligatures w14:val="none"/>
              </w:rPr>
              <w:t xml:space="preserve"> </w:t>
            </w:r>
          </w:p>
        </w:tc>
      </w:tr>
      <w:tr w:rsidR="00516B95" w:rsidRPr="00B23206" w14:paraId="50557654" w14:textId="77777777" w:rsidTr="00381AA7">
        <w:tc>
          <w:tcPr>
            <w:tcW w:w="2835" w:type="dxa"/>
          </w:tcPr>
          <w:p w14:paraId="2FD047C8"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78 proc. (-13 proc.)</w:t>
            </w:r>
          </w:p>
        </w:tc>
        <w:tc>
          <w:tcPr>
            <w:tcW w:w="2835" w:type="dxa"/>
          </w:tcPr>
          <w:p w14:paraId="645E891D"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103 proc. (+25 proc.)</w:t>
            </w:r>
          </w:p>
        </w:tc>
        <w:tc>
          <w:tcPr>
            <w:tcW w:w="2835" w:type="dxa"/>
            <w:shd w:val="clear" w:color="auto" w:fill="auto"/>
          </w:tcPr>
          <w:p w14:paraId="19BF05FD" w14:textId="4BFB6B0F" w:rsidR="00516B95" w:rsidRPr="00A959DA" w:rsidRDefault="00516B95" w:rsidP="00DD56F9">
            <w:pPr>
              <w:spacing w:after="0" w:line="360" w:lineRule="auto"/>
              <w:jc w:val="both"/>
              <w:rPr>
                <w:rFonts w:eastAsia="Calibri" w:cs="Times New Roman"/>
                <w:kern w:val="0"/>
                <w:szCs w:val="24"/>
                <w:lang w:val="en-US" w:eastAsia="lt-LT"/>
                <w14:ligatures w14:val="none"/>
              </w:rPr>
            </w:pPr>
            <w:r>
              <w:rPr>
                <w:rFonts w:eastAsia="Calibri" w:cs="Times New Roman"/>
                <w:kern w:val="0"/>
                <w:szCs w:val="24"/>
                <w:lang w:val="en-US" w:eastAsia="lt-LT"/>
                <w14:ligatures w14:val="none"/>
              </w:rPr>
              <w:t>100,9 p</w:t>
            </w:r>
            <w:r w:rsidR="00B6646E">
              <w:rPr>
                <w:rFonts w:eastAsia="Calibri" w:cs="Times New Roman"/>
                <w:kern w:val="0"/>
                <w:szCs w:val="24"/>
                <w:lang w:val="en-US" w:eastAsia="lt-LT"/>
                <w14:ligatures w14:val="none"/>
              </w:rPr>
              <w:t>r</w:t>
            </w:r>
            <w:r>
              <w:rPr>
                <w:rFonts w:eastAsia="Calibri" w:cs="Times New Roman"/>
                <w:kern w:val="0"/>
                <w:szCs w:val="24"/>
                <w:lang w:val="en-US" w:eastAsia="lt-LT"/>
                <w14:ligatures w14:val="none"/>
              </w:rPr>
              <w:t>oc. (+0,9 proc.)</w:t>
            </w:r>
          </w:p>
        </w:tc>
      </w:tr>
    </w:tbl>
    <w:p w14:paraId="79A94FED"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p>
    <w:p w14:paraId="6F6C2803"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 xml:space="preserve">      Ugdomi visi 6 metų vaikai, savivaldybėje deklaravę gyvenamąją vietą</w:t>
      </w:r>
      <w:r w:rsidRPr="00B6646E">
        <w:rPr>
          <w:rFonts w:eastAsia="Times New Roman" w:cs="Times New Roman"/>
          <w:kern w:val="0"/>
          <w:szCs w:val="24"/>
          <w:lang w:eastAsia="lt-LT"/>
          <w14:ligatures w14:val="none"/>
        </w:rPr>
        <w:t>, išskyrus tuos, kurie su tėvais išvykę gyventi į užsienį arba gyvena kitose savivaldybėse.</w:t>
      </w:r>
    </w:p>
    <w:p w14:paraId="2347F11B" w14:textId="4A95FFB6" w:rsidR="00516B95" w:rsidRPr="00B23206" w:rsidRDefault="00516B95" w:rsidP="00DD56F9">
      <w:pPr>
        <w:spacing w:after="0" w:line="360" w:lineRule="auto"/>
        <w:jc w:val="both"/>
        <w:rPr>
          <w:rFonts w:eastAsia="Times New Roman" w:cs="Times New Roman"/>
          <w:caps/>
          <w:noProof/>
          <w:kern w:val="0"/>
          <w:szCs w:val="24"/>
          <w:lang w:eastAsia="lt-LT"/>
          <w14:ligatures w14:val="none"/>
        </w:rPr>
      </w:pPr>
      <w:r w:rsidRPr="00B23206">
        <w:rPr>
          <w:rFonts w:eastAsia="Times New Roman" w:cs="Times New Roman"/>
          <w:noProof/>
          <w:kern w:val="0"/>
          <w:szCs w:val="24"/>
          <w:lang w:eastAsia="lt-LT"/>
          <w14:ligatures w14:val="none"/>
        </w:rPr>
        <w:t xml:space="preserve">     Buvo parengti  savivaldybės tarybos projektai dėl Molėtų rajono savivaldybės  bendrojo ir ikimokyklinio ugdymo mokyklų priešmokyklinio ugdymo organizavimo modelių 202</w:t>
      </w:r>
      <w:r>
        <w:rPr>
          <w:rFonts w:eastAsia="Times New Roman" w:cs="Times New Roman"/>
          <w:noProof/>
          <w:kern w:val="0"/>
          <w:szCs w:val="24"/>
          <w:lang w:eastAsia="lt-LT"/>
          <w14:ligatures w14:val="none"/>
        </w:rPr>
        <w:t>2</w:t>
      </w:r>
      <w:r w:rsidRPr="00B23206">
        <w:rPr>
          <w:rFonts w:eastAsia="Times New Roman" w:cs="Times New Roman"/>
          <w:noProof/>
          <w:kern w:val="0"/>
          <w:szCs w:val="24"/>
          <w:lang w:eastAsia="lt-LT"/>
          <w14:ligatures w14:val="none"/>
        </w:rPr>
        <w:t>–202</w:t>
      </w:r>
      <w:r>
        <w:rPr>
          <w:rFonts w:eastAsia="Times New Roman" w:cs="Times New Roman"/>
          <w:noProof/>
          <w:kern w:val="0"/>
          <w:szCs w:val="24"/>
          <w:lang w:eastAsia="lt-LT"/>
          <w14:ligatures w14:val="none"/>
        </w:rPr>
        <w:t>3</w:t>
      </w:r>
      <w:r w:rsidRPr="00B23206">
        <w:rPr>
          <w:rFonts w:eastAsia="Times New Roman" w:cs="Times New Roman"/>
          <w:noProof/>
          <w:kern w:val="0"/>
          <w:szCs w:val="24"/>
          <w:lang w:eastAsia="lt-LT"/>
          <w14:ligatures w14:val="none"/>
        </w:rPr>
        <w:t xml:space="preserve"> mokslo metams patvirtinimo.</w:t>
      </w:r>
    </w:p>
    <w:p w14:paraId="0C6ED881" w14:textId="5B38058F" w:rsidR="00516B95" w:rsidRPr="00B6646E" w:rsidRDefault="004D16E7" w:rsidP="004D16E7">
      <w:pPr>
        <w:spacing w:after="0" w:line="360" w:lineRule="auto"/>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 xml:space="preserve">      </w:t>
      </w:r>
      <w:r w:rsidR="00B6646E">
        <w:rPr>
          <w:rFonts w:eastAsia="Times New Roman" w:cs="Times New Roman"/>
          <w:kern w:val="0"/>
          <w:szCs w:val="24"/>
          <w:lang w:eastAsia="lt-LT"/>
          <w14:ligatures w14:val="none"/>
        </w:rPr>
        <w:t>D</w:t>
      </w:r>
      <w:r w:rsidR="00516B95">
        <w:rPr>
          <w:rFonts w:eastAsia="Times New Roman" w:cs="Times New Roman"/>
          <w:kern w:val="0"/>
          <w:szCs w:val="24"/>
          <w:lang w:eastAsia="lt-LT"/>
          <w14:ligatures w14:val="none"/>
        </w:rPr>
        <w:t xml:space="preserve">u </w:t>
      </w:r>
      <w:r w:rsidR="00B6646E">
        <w:rPr>
          <w:rFonts w:eastAsia="Times New Roman" w:cs="Times New Roman"/>
          <w:kern w:val="0"/>
          <w:szCs w:val="24"/>
          <w:lang w:eastAsia="lt-LT"/>
          <w14:ligatures w14:val="none"/>
        </w:rPr>
        <w:t>s</w:t>
      </w:r>
      <w:r w:rsidR="00B6646E" w:rsidRPr="00B23206">
        <w:rPr>
          <w:rFonts w:eastAsia="Times New Roman" w:cs="Times New Roman"/>
          <w:kern w:val="0"/>
          <w:szCs w:val="24"/>
          <w:lang w:eastAsia="lt-LT"/>
          <w14:ligatures w14:val="none"/>
        </w:rPr>
        <w:t>kyri</w:t>
      </w:r>
      <w:r w:rsidR="00B6646E">
        <w:rPr>
          <w:rFonts w:eastAsia="Times New Roman" w:cs="Times New Roman"/>
          <w:kern w:val="0"/>
          <w:szCs w:val="24"/>
          <w:lang w:eastAsia="lt-LT"/>
          <w14:ligatures w14:val="none"/>
        </w:rPr>
        <w:t>a</w:t>
      </w:r>
      <w:r w:rsidR="00B6646E" w:rsidRPr="00B23206">
        <w:rPr>
          <w:rFonts w:eastAsia="Times New Roman" w:cs="Times New Roman"/>
          <w:kern w:val="0"/>
          <w:szCs w:val="24"/>
          <w:lang w:eastAsia="lt-LT"/>
          <w14:ligatures w14:val="none"/>
        </w:rPr>
        <w:t>us</w:t>
      </w:r>
      <w:r w:rsidR="00B6646E">
        <w:rPr>
          <w:rFonts w:eastAsia="Times New Roman" w:cs="Times New Roman"/>
          <w:kern w:val="0"/>
          <w:szCs w:val="24"/>
          <w:lang w:eastAsia="lt-LT"/>
          <w14:ligatures w14:val="none"/>
        </w:rPr>
        <w:t xml:space="preserve"> </w:t>
      </w:r>
      <w:r w:rsidR="00516B95">
        <w:rPr>
          <w:rFonts w:eastAsia="Times New Roman" w:cs="Times New Roman"/>
          <w:kern w:val="0"/>
          <w:szCs w:val="24"/>
          <w:lang w:eastAsia="lt-LT"/>
          <w14:ligatures w14:val="none"/>
        </w:rPr>
        <w:t>specialistai</w:t>
      </w:r>
      <w:r w:rsidR="00516B95" w:rsidRPr="00B23206">
        <w:rPr>
          <w:rFonts w:eastAsia="Times New Roman" w:cs="Times New Roman"/>
          <w:kern w:val="0"/>
          <w:szCs w:val="24"/>
          <w:lang w:eastAsia="lt-LT"/>
          <w14:ligatures w14:val="none"/>
        </w:rPr>
        <w:t xml:space="preserve"> dalyva</w:t>
      </w:r>
      <w:r w:rsidR="00516B95">
        <w:rPr>
          <w:rFonts w:eastAsia="Times New Roman" w:cs="Times New Roman"/>
          <w:kern w:val="0"/>
          <w:szCs w:val="24"/>
          <w:lang w:eastAsia="lt-LT"/>
          <w14:ligatures w14:val="none"/>
        </w:rPr>
        <w:t>uja</w:t>
      </w:r>
      <w:r w:rsidR="00516B95" w:rsidRPr="00B23206">
        <w:rPr>
          <w:rFonts w:eastAsia="Times New Roman" w:cs="Times New Roman"/>
          <w:kern w:val="0"/>
          <w:szCs w:val="24"/>
          <w:lang w:eastAsia="lt-LT"/>
          <w14:ligatures w14:val="none"/>
        </w:rPr>
        <w:t xml:space="preserve"> savivaldybės administracijos Vaiko gerovės komisijos veikloje: </w:t>
      </w:r>
      <w:r w:rsidR="00516B95">
        <w:rPr>
          <w:rFonts w:eastAsia="Times New Roman" w:cs="Times New Roman"/>
          <w:kern w:val="0"/>
          <w:szCs w:val="24"/>
          <w:lang w:eastAsia="lt-LT"/>
          <w14:ligatures w14:val="none"/>
        </w:rPr>
        <w:t>vienas jų</w:t>
      </w:r>
      <w:r w:rsidR="00516B95" w:rsidRPr="00B23206">
        <w:rPr>
          <w:rFonts w:eastAsia="Times New Roman" w:cs="Times New Roman"/>
          <w:kern w:val="0"/>
          <w:szCs w:val="24"/>
          <w:lang w:eastAsia="lt-LT"/>
          <w14:ligatures w14:val="none"/>
        </w:rPr>
        <w:t xml:space="preserve"> yra minėtos komisijos sekretorius</w:t>
      </w:r>
      <w:r w:rsidR="00516B95">
        <w:rPr>
          <w:rFonts w:eastAsia="Times New Roman" w:cs="Times New Roman"/>
          <w:kern w:val="0"/>
          <w:szCs w:val="24"/>
          <w:lang w:eastAsia="lt-LT"/>
          <w14:ligatures w14:val="none"/>
        </w:rPr>
        <w:t>.</w:t>
      </w:r>
      <w:r w:rsidR="00516B95" w:rsidRPr="00B23206">
        <w:rPr>
          <w:rFonts w:eastAsia="Times New Roman" w:cs="Times New Roman"/>
          <w:kern w:val="0"/>
          <w:szCs w:val="24"/>
          <w:lang w:eastAsia="lt-LT"/>
          <w14:ligatures w14:val="none"/>
        </w:rPr>
        <w:t xml:space="preserve"> </w:t>
      </w:r>
      <w:r w:rsidR="00B6646E">
        <w:rPr>
          <w:rFonts w:eastAsia="Times New Roman" w:cs="Times New Roman"/>
          <w:kern w:val="0"/>
          <w:szCs w:val="24"/>
          <w:lang w:eastAsia="lt-LT"/>
          <w14:ligatures w14:val="none"/>
        </w:rPr>
        <w:t>Kaip ir k</w:t>
      </w:r>
      <w:r w:rsidR="00516B95" w:rsidRPr="00B23206">
        <w:rPr>
          <w:rFonts w:eastAsia="Times New Roman" w:cs="Times New Roman"/>
          <w:kern w:val="0"/>
          <w:szCs w:val="24"/>
          <w:lang w:eastAsia="lt-LT"/>
          <w14:ligatures w14:val="none"/>
        </w:rPr>
        <w:t xml:space="preserve">iekvienais metais ŠVIS </w:t>
      </w:r>
      <w:r w:rsidR="00B6646E">
        <w:rPr>
          <w:rFonts w:eastAsia="Times New Roman" w:cs="Times New Roman"/>
          <w:kern w:val="0"/>
          <w:szCs w:val="24"/>
          <w:lang w:eastAsia="lt-LT"/>
          <w14:ligatures w14:val="none"/>
        </w:rPr>
        <w:t xml:space="preserve">buvo </w:t>
      </w:r>
      <w:r w:rsidR="00516B95" w:rsidRPr="00B23206">
        <w:rPr>
          <w:rFonts w:eastAsia="Times New Roman" w:cs="Times New Roman"/>
          <w:kern w:val="0"/>
          <w:szCs w:val="24"/>
          <w:lang w:eastAsia="lt-LT"/>
          <w14:ligatures w14:val="none"/>
        </w:rPr>
        <w:t>teikiami duomenys apie Vaiko gerovės komisijos veiklą, rengiama “Vaiko minimalios ir vidutinės priežiūros rodiklių ataskaita“.</w:t>
      </w:r>
    </w:p>
    <w:p w14:paraId="13748A62" w14:textId="77777777" w:rsidR="00516B95" w:rsidRPr="00B6646E" w:rsidRDefault="00516B95" w:rsidP="00DD56F9">
      <w:pPr>
        <w:spacing w:after="0" w:line="360" w:lineRule="auto"/>
        <w:ind w:left="720"/>
        <w:jc w:val="both"/>
        <w:rPr>
          <w:rFonts w:eastAsia="Times New Roman" w:cs="Times New Roman"/>
          <w:b/>
          <w:kern w:val="0"/>
          <w:szCs w:val="24"/>
          <w:lang w:eastAsia="lt-LT"/>
          <w14:ligatures w14:val="none"/>
        </w:rPr>
      </w:pPr>
      <w:r w:rsidRPr="00B6646E">
        <w:rPr>
          <w:rFonts w:eastAsia="Times New Roman" w:cs="Times New Roman"/>
          <w:b/>
          <w:kern w:val="0"/>
          <w:szCs w:val="24"/>
          <w:lang w:eastAsia="lt-LT"/>
          <w14:ligatures w14:val="none"/>
        </w:rPr>
        <w:t>Mokinių nemokamas maitinimas</w:t>
      </w:r>
    </w:p>
    <w:p w14:paraId="4BD1F988" w14:textId="442EBF89" w:rsidR="00516B95" w:rsidRPr="00B6646E" w:rsidRDefault="00516B95" w:rsidP="00DD56F9">
      <w:pPr>
        <w:spacing w:after="0" w:line="360" w:lineRule="auto"/>
        <w:jc w:val="both"/>
        <w:rPr>
          <w:rFonts w:eastAsia="Times New Roman" w:cs="Times New Roman"/>
          <w:b/>
          <w:kern w:val="0"/>
          <w:szCs w:val="24"/>
          <w:lang w:eastAsia="lt-LT"/>
          <w14:ligatures w14:val="none"/>
        </w:rPr>
      </w:pPr>
      <w:r w:rsidRPr="00B6646E">
        <w:rPr>
          <w:rFonts w:eastAsia="Times New Roman" w:cs="Times New Roman"/>
          <w:kern w:val="0"/>
          <w:szCs w:val="24"/>
          <w:lang w:eastAsia="lt-LT"/>
          <w14:ligatures w14:val="none"/>
        </w:rPr>
        <w:t xml:space="preserve">    </w:t>
      </w:r>
      <w:r w:rsidR="004D16E7">
        <w:rPr>
          <w:rFonts w:eastAsia="Times New Roman" w:cs="Times New Roman"/>
          <w:kern w:val="0"/>
          <w:szCs w:val="24"/>
          <w:lang w:eastAsia="lt-LT"/>
          <w14:ligatures w14:val="none"/>
        </w:rPr>
        <w:t xml:space="preserve">  </w:t>
      </w:r>
      <w:r w:rsidRPr="00B6646E">
        <w:rPr>
          <w:rFonts w:eastAsia="Times New Roman" w:cs="Times New Roman"/>
          <w:kern w:val="0"/>
          <w:szCs w:val="24"/>
          <w:lang w:eastAsia="lt-LT"/>
          <w14:ligatures w14:val="none"/>
        </w:rPr>
        <w:t xml:space="preserve"> Buvo parengti  savivaldybės tarybos sprendimų projektai ir  savivaldybės administracijos direktoriaus įsakymas, susijęs su</w:t>
      </w:r>
      <w:r w:rsidRPr="00B6646E">
        <w:rPr>
          <w:rFonts w:eastAsia="Times New Roman" w:cs="Times New Roman"/>
          <w:noProof/>
          <w:kern w:val="0"/>
          <w:szCs w:val="24"/>
          <w:lang w:eastAsia="lt-LT"/>
          <w14:ligatures w14:val="none"/>
        </w:rPr>
        <w:t xml:space="preserve"> mokinių nemokamu maitinimu.</w:t>
      </w:r>
    </w:p>
    <w:p w14:paraId="515EB08B" w14:textId="77777777" w:rsidR="00516B95" w:rsidRPr="00B23206" w:rsidRDefault="00516B95" w:rsidP="00DD56F9">
      <w:pPr>
        <w:spacing w:after="0" w:line="360" w:lineRule="auto"/>
        <w:ind w:firstLine="360"/>
        <w:jc w:val="both"/>
        <w:rPr>
          <w:rFonts w:eastAsia="Times New Roman" w:cs="Times New Roman"/>
          <w:b/>
          <w:kern w:val="0"/>
          <w:szCs w:val="24"/>
          <w:lang w:val="en-US" w:eastAsia="lt-LT"/>
          <w14:ligatures w14:val="none"/>
        </w:rPr>
      </w:pPr>
      <w:r w:rsidRPr="00B23206">
        <w:rPr>
          <w:rFonts w:eastAsia="Times New Roman" w:cs="Times New Roman"/>
          <w:b/>
          <w:kern w:val="0"/>
          <w:szCs w:val="24"/>
          <w:lang w:eastAsia="lt-LT"/>
          <w14:ligatures w14:val="none"/>
        </w:rPr>
        <w:t>Mokinių, gaunančių nemokamą maitinimą dalis/pokytis (</w:t>
      </w:r>
      <w:r w:rsidRPr="00B23206">
        <w:rPr>
          <w:rFonts w:eastAsia="Times New Roman" w:cs="Times New Roman"/>
          <w:b/>
          <w:kern w:val="0"/>
          <w:szCs w:val="24"/>
          <w:lang w:val="en-US" w:eastAsia="lt-LT"/>
          <w14:ligatures w14:val="none"/>
        </w:rPr>
        <w:t>proc.)</w:t>
      </w:r>
    </w:p>
    <w:p w14:paraId="38A7B20B" w14:textId="77777777" w:rsidR="00516B95" w:rsidRPr="00B23206" w:rsidRDefault="00516B95" w:rsidP="00DD56F9">
      <w:pPr>
        <w:spacing w:after="0" w:line="360" w:lineRule="auto"/>
        <w:ind w:firstLine="360"/>
        <w:jc w:val="both"/>
        <w:rPr>
          <w:rFonts w:eastAsia="Times New Roman" w:cs="Times New Roman"/>
          <w:kern w:val="0"/>
          <w:szCs w:val="24"/>
          <w:lang w:val="en-US" w:eastAsia="lt-LT"/>
          <w14:ligatures w14:val="none"/>
        </w:rPr>
      </w:pPr>
    </w:p>
    <w:tbl>
      <w:tblPr>
        <w:tblW w:w="7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60"/>
        <w:gridCol w:w="2660"/>
      </w:tblGrid>
      <w:tr w:rsidR="00516B95" w:rsidRPr="00B23206" w14:paraId="26DE6EF5" w14:textId="77777777" w:rsidTr="00381AA7">
        <w:trPr>
          <w:trHeight w:val="349"/>
        </w:trPr>
        <w:tc>
          <w:tcPr>
            <w:tcW w:w="2660" w:type="dxa"/>
          </w:tcPr>
          <w:p w14:paraId="146618E8" w14:textId="77777777" w:rsidR="00516B95" w:rsidRPr="00B23206" w:rsidRDefault="00516B95" w:rsidP="00DD56F9">
            <w:pPr>
              <w:tabs>
                <w:tab w:val="left" w:pos="1909"/>
              </w:tabs>
              <w:spacing w:after="0" w:line="360" w:lineRule="auto"/>
              <w:ind w:right="703"/>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2021 m.</w:t>
            </w:r>
          </w:p>
        </w:tc>
        <w:tc>
          <w:tcPr>
            <w:tcW w:w="2660" w:type="dxa"/>
          </w:tcPr>
          <w:p w14:paraId="2BD625A5" w14:textId="77777777" w:rsidR="00516B95" w:rsidRPr="00B23206" w:rsidRDefault="00516B95" w:rsidP="00DD56F9">
            <w:pPr>
              <w:tabs>
                <w:tab w:val="left" w:pos="1909"/>
              </w:tabs>
              <w:spacing w:after="0" w:line="360" w:lineRule="auto"/>
              <w:ind w:right="703"/>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2022 m.</w:t>
            </w:r>
          </w:p>
        </w:tc>
        <w:tc>
          <w:tcPr>
            <w:tcW w:w="2660" w:type="dxa"/>
            <w:shd w:val="clear" w:color="auto" w:fill="auto"/>
          </w:tcPr>
          <w:p w14:paraId="516EE89B" w14:textId="77777777" w:rsidR="00516B95" w:rsidRPr="005937FB" w:rsidRDefault="00516B95" w:rsidP="00DD56F9">
            <w:pPr>
              <w:tabs>
                <w:tab w:val="left" w:pos="1909"/>
              </w:tabs>
              <w:spacing w:after="0" w:line="360" w:lineRule="auto"/>
              <w:ind w:right="703"/>
              <w:jc w:val="both"/>
              <w:rPr>
                <w:rFonts w:eastAsia="Calibri" w:cs="Times New Roman"/>
                <w:kern w:val="0"/>
                <w:szCs w:val="24"/>
                <w:lang w:val="en-US" w:eastAsia="lt-LT"/>
                <w14:ligatures w14:val="none"/>
              </w:rPr>
            </w:pPr>
            <w:r w:rsidRPr="005937FB">
              <w:rPr>
                <w:rFonts w:eastAsia="Calibri" w:cs="Times New Roman"/>
                <w:kern w:val="0"/>
                <w:szCs w:val="24"/>
                <w:lang w:val="en-US" w:eastAsia="lt-LT"/>
                <w14:ligatures w14:val="none"/>
              </w:rPr>
              <w:t>2023 m.</w:t>
            </w:r>
          </w:p>
        </w:tc>
      </w:tr>
      <w:tr w:rsidR="00516B95" w:rsidRPr="00B23206" w14:paraId="7A63FD56" w14:textId="77777777" w:rsidTr="00381AA7">
        <w:tc>
          <w:tcPr>
            <w:tcW w:w="2660" w:type="dxa"/>
          </w:tcPr>
          <w:p w14:paraId="3E536F04"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593 mok.</w:t>
            </w:r>
          </w:p>
        </w:tc>
        <w:tc>
          <w:tcPr>
            <w:tcW w:w="2660" w:type="dxa"/>
          </w:tcPr>
          <w:p w14:paraId="21D6C745"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628 mok.</w:t>
            </w:r>
          </w:p>
        </w:tc>
        <w:tc>
          <w:tcPr>
            <w:tcW w:w="2660" w:type="dxa"/>
            <w:shd w:val="clear" w:color="auto" w:fill="auto"/>
          </w:tcPr>
          <w:p w14:paraId="47A75B3D" w14:textId="77777777" w:rsidR="00516B95" w:rsidRPr="005937FB" w:rsidRDefault="00516B95" w:rsidP="00DD56F9">
            <w:pPr>
              <w:spacing w:after="0" w:line="360" w:lineRule="auto"/>
              <w:jc w:val="both"/>
              <w:rPr>
                <w:rFonts w:eastAsia="Calibri" w:cs="Times New Roman"/>
                <w:kern w:val="0"/>
                <w:szCs w:val="24"/>
                <w:lang w:eastAsia="lt-LT"/>
                <w14:ligatures w14:val="none"/>
              </w:rPr>
            </w:pPr>
            <w:r w:rsidRPr="005937FB">
              <w:rPr>
                <w:rFonts w:eastAsia="Calibri" w:cs="Times New Roman"/>
                <w:kern w:val="0"/>
                <w:szCs w:val="24"/>
                <w:lang w:eastAsia="lt-LT"/>
                <w14:ligatures w14:val="none"/>
              </w:rPr>
              <w:t>603 mok.</w:t>
            </w:r>
          </w:p>
        </w:tc>
      </w:tr>
      <w:tr w:rsidR="00516B95" w:rsidRPr="00B23206" w14:paraId="72348177" w14:textId="77777777" w:rsidTr="00381AA7">
        <w:tc>
          <w:tcPr>
            <w:tcW w:w="2660" w:type="dxa"/>
          </w:tcPr>
          <w:p w14:paraId="68FAC5B3"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36,9 proc. (+4,5)</w:t>
            </w:r>
          </w:p>
        </w:tc>
        <w:tc>
          <w:tcPr>
            <w:tcW w:w="2660" w:type="dxa"/>
          </w:tcPr>
          <w:p w14:paraId="777F4ECC"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39,3 proc. (+2,4)</w:t>
            </w:r>
          </w:p>
        </w:tc>
        <w:tc>
          <w:tcPr>
            <w:tcW w:w="2660" w:type="dxa"/>
            <w:shd w:val="clear" w:color="auto" w:fill="auto"/>
          </w:tcPr>
          <w:p w14:paraId="69FEE217"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Pr>
                <w:rFonts w:eastAsia="Calibri" w:cs="Times New Roman"/>
                <w:kern w:val="0"/>
                <w:szCs w:val="24"/>
                <w:lang w:val="en-US" w:eastAsia="lt-LT"/>
                <w14:ligatures w14:val="none"/>
              </w:rPr>
              <w:t>37,9 proc. (-1,4)</w:t>
            </w:r>
          </w:p>
        </w:tc>
      </w:tr>
    </w:tbl>
    <w:p w14:paraId="6357AEC2" w14:textId="77777777" w:rsidR="00516B95" w:rsidRPr="00B23206" w:rsidRDefault="00516B95" w:rsidP="00DD56F9">
      <w:pPr>
        <w:spacing w:after="0" w:line="360" w:lineRule="auto"/>
        <w:jc w:val="both"/>
        <w:rPr>
          <w:rFonts w:eastAsia="Times New Roman" w:cs="Times New Roman"/>
          <w:b/>
          <w:kern w:val="0"/>
          <w:szCs w:val="24"/>
          <w:lang w:val="en-US" w:eastAsia="lt-LT"/>
          <w14:ligatures w14:val="none"/>
        </w:rPr>
      </w:pPr>
    </w:p>
    <w:p w14:paraId="35D8447C" w14:textId="5076C85B" w:rsidR="00516B95" w:rsidRPr="004208D7" w:rsidRDefault="00516B95" w:rsidP="00DD56F9">
      <w:pPr>
        <w:spacing w:after="0" w:line="360" w:lineRule="auto"/>
        <w:jc w:val="both"/>
        <w:rPr>
          <w:rFonts w:eastAsia="Times New Roman" w:cs="Times New Roman"/>
          <w:b/>
          <w:kern w:val="0"/>
          <w:szCs w:val="24"/>
          <w:lang w:eastAsia="lt-LT"/>
          <w14:ligatures w14:val="none"/>
        </w:rPr>
      </w:pPr>
      <w:r w:rsidRPr="00B23206">
        <w:rPr>
          <w:rFonts w:eastAsia="Times New Roman" w:cs="Times New Roman"/>
          <w:kern w:val="0"/>
          <w:szCs w:val="24"/>
          <w:lang w:val="en-US" w:eastAsia="lt-LT"/>
          <w14:ligatures w14:val="none"/>
        </w:rPr>
        <w:t xml:space="preserve">    </w:t>
      </w:r>
      <w:r w:rsidR="004D16E7">
        <w:rPr>
          <w:rFonts w:eastAsia="Times New Roman" w:cs="Times New Roman"/>
          <w:kern w:val="0"/>
          <w:szCs w:val="24"/>
          <w:lang w:val="en-US" w:eastAsia="lt-LT"/>
          <w14:ligatures w14:val="none"/>
        </w:rPr>
        <w:t xml:space="preserve"> </w:t>
      </w:r>
      <w:r w:rsidRPr="00B23206">
        <w:rPr>
          <w:rFonts w:eastAsia="Times New Roman" w:cs="Times New Roman"/>
          <w:kern w:val="0"/>
          <w:szCs w:val="24"/>
          <w:lang w:val="en-US" w:eastAsia="lt-LT"/>
          <w14:ligatures w14:val="none"/>
        </w:rPr>
        <w:t xml:space="preserve"> </w:t>
      </w:r>
      <w:proofErr w:type="spellStart"/>
      <w:r w:rsidRPr="00B23206">
        <w:rPr>
          <w:rFonts w:eastAsia="Times New Roman" w:cs="Times New Roman"/>
          <w:kern w:val="0"/>
          <w:szCs w:val="24"/>
          <w:lang w:val="en-US" w:eastAsia="lt-LT"/>
          <w14:ligatures w14:val="none"/>
        </w:rPr>
        <w:t>Mokinių</w:t>
      </w:r>
      <w:proofErr w:type="spellEnd"/>
      <w:r w:rsidRPr="00B23206">
        <w:rPr>
          <w:rFonts w:eastAsia="Times New Roman" w:cs="Times New Roman"/>
          <w:kern w:val="0"/>
          <w:szCs w:val="24"/>
          <w:lang w:eastAsia="lt-LT"/>
          <w14:ligatures w14:val="none"/>
        </w:rPr>
        <w:t xml:space="preserve">, gaunančių nemokamą maitinimą, dalis </w:t>
      </w:r>
      <w:r>
        <w:rPr>
          <w:rFonts w:eastAsia="Times New Roman" w:cs="Times New Roman"/>
          <w:kern w:val="0"/>
          <w:szCs w:val="24"/>
          <w:lang w:eastAsia="lt-LT"/>
          <w14:ligatures w14:val="none"/>
        </w:rPr>
        <w:t>sumažėjo</w:t>
      </w:r>
      <w:r w:rsidRPr="00B23206">
        <w:rPr>
          <w:rFonts w:eastAsia="Times New Roman" w:cs="Times New Roman"/>
          <w:kern w:val="0"/>
          <w:szCs w:val="24"/>
          <w:lang w:eastAsia="lt-LT"/>
          <w14:ligatures w14:val="none"/>
        </w:rPr>
        <w:t xml:space="preserve"> </w:t>
      </w:r>
      <w:r>
        <w:rPr>
          <w:rFonts w:eastAsia="Times New Roman" w:cs="Times New Roman"/>
          <w:kern w:val="0"/>
          <w:szCs w:val="24"/>
          <w:lang w:eastAsia="lt-LT"/>
          <w14:ligatures w14:val="none"/>
        </w:rPr>
        <w:t>1</w:t>
      </w:r>
      <w:r w:rsidRPr="00B23206">
        <w:rPr>
          <w:rFonts w:eastAsia="Times New Roman" w:cs="Times New Roman"/>
          <w:kern w:val="0"/>
          <w:szCs w:val="24"/>
          <w:lang w:val="en-US" w:eastAsia="lt-LT"/>
          <w14:ligatures w14:val="none"/>
        </w:rPr>
        <w:t>,4</w:t>
      </w:r>
      <w:r w:rsidRPr="00B23206">
        <w:rPr>
          <w:rFonts w:eastAsia="Times New Roman" w:cs="Times New Roman"/>
          <w:kern w:val="0"/>
          <w:szCs w:val="24"/>
          <w:lang w:eastAsia="lt-LT"/>
          <w14:ligatures w14:val="none"/>
        </w:rPr>
        <w:t xml:space="preserve"> proc. </w:t>
      </w:r>
      <w:r w:rsidRPr="004208D7">
        <w:rPr>
          <w:rFonts w:eastAsia="Times New Roman" w:cs="Times New Roman"/>
          <w:kern w:val="0"/>
          <w:szCs w:val="24"/>
          <w:lang w:eastAsia="lt-LT"/>
          <w14:ligatures w14:val="none"/>
        </w:rPr>
        <w:t>Nuo 2020 m. rugsėjo 1 d. nemokamą maitinimą gauna visi pirmos klasės mokiniai ir vaikai, ugdomi pagal priešmokyklinio ugdymo programą, nepriklausomai nuo šeimos pajamų. Nuo 2021 m. rugsėjo 1 d. nemokamą maitinimą gauna ir visi antros klasės mokiniai, nepriklausomai nuo šeimos pajamų bei jau minėti visi pirmos klasės mokiniai ir vaikai, ugdomi pagal priešmokyklinio ugdymo programą, nepriklausomai nuo šeimos pajamų.</w:t>
      </w:r>
    </w:p>
    <w:p w14:paraId="44C81420" w14:textId="77777777" w:rsidR="00516B95" w:rsidRPr="004208D7" w:rsidRDefault="00516B95" w:rsidP="00DD56F9">
      <w:pPr>
        <w:spacing w:after="0" w:line="360" w:lineRule="auto"/>
        <w:jc w:val="both"/>
        <w:rPr>
          <w:rFonts w:eastAsia="Times New Roman" w:cs="Times New Roman"/>
          <w:b/>
          <w:kern w:val="0"/>
          <w:szCs w:val="24"/>
          <w:lang w:eastAsia="lt-LT"/>
          <w14:ligatures w14:val="none"/>
        </w:rPr>
      </w:pPr>
    </w:p>
    <w:p w14:paraId="4AB8E99D" w14:textId="77777777" w:rsidR="00516B95" w:rsidRPr="00B23206" w:rsidRDefault="00516B95" w:rsidP="00DD56F9">
      <w:pPr>
        <w:spacing w:after="0" w:line="360" w:lineRule="auto"/>
        <w:jc w:val="both"/>
        <w:rPr>
          <w:rFonts w:eastAsia="Times New Roman" w:cs="Times New Roman"/>
          <w:b/>
          <w:kern w:val="0"/>
          <w:szCs w:val="24"/>
          <w:lang w:eastAsia="lt-LT"/>
          <w14:ligatures w14:val="none"/>
        </w:rPr>
      </w:pPr>
      <w:r w:rsidRPr="00B23206">
        <w:rPr>
          <w:rFonts w:eastAsia="Times New Roman" w:cs="Times New Roman"/>
          <w:b/>
          <w:kern w:val="0"/>
          <w:szCs w:val="24"/>
          <w:lang w:eastAsia="lt-LT"/>
          <w14:ligatures w14:val="none"/>
        </w:rPr>
        <w:t xml:space="preserve"> Lėšos, panaudotos nemokamam mokinių maitinimui</w:t>
      </w:r>
    </w:p>
    <w:p w14:paraId="32E70BA5" w14:textId="77777777" w:rsidR="00516B95" w:rsidRPr="00B23206" w:rsidRDefault="00516B95" w:rsidP="00DD56F9">
      <w:pPr>
        <w:spacing w:after="0" w:line="360" w:lineRule="auto"/>
        <w:ind w:left="360"/>
        <w:jc w:val="both"/>
        <w:rPr>
          <w:rFonts w:eastAsia="Times New Roman" w:cs="Times New Roman"/>
          <w:b/>
          <w:kern w:val="0"/>
          <w:szCs w:val="24"/>
          <w:lang w:val="en-US"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401"/>
        <w:gridCol w:w="1418"/>
        <w:gridCol w:w="2410"/>
        <w:gridCol w:w="2551"/>
      </w:tblGrid>
      <w:tr w:rsidR="00516B95" w:rsidRPr="00B23206" w14:paraId="4CAE01FC" w14:textId="77777777" w:rsidTr="00381AA7">
        <w:tc>
          <w:tcPr>
            <w:tcW w:w="1542" w:type="dxa"/>
            <w:vMerge w:val="restart"/>
            <w:tcBorders>
              <w:top w:val="single" w:sz="4" w:space="0" w:color="auto"/>
              <w:left w:val="single" w:sz="4" w:space="0" w:color="auto"/>
              <w:bottom w:val="single" w:sz="4" w:space="0" w:color="auto"/>
              <w:right w:val="single" w:sz="4" w:space="0" w:color="auto"/>
            </w:tcBorders>
            <w:shd w:val="clear" w:color="auto" w:fill="auto"/>
          </w:tcPr>
          <w:p w14:paraId="64B68A16"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Metai</w:t>
            </w:r>
          </w:p>
        </w:tc>
        <w:tc>
          <w:tcPr>
            <w:tcW w:w="2819" w:type="dxa"/>
            <w:gridSpan w:val="2"/>
            <w:tcBorders>
              <w:top w:val="single" w:sz="4" w:space="0" w:color="auto"/>
              <w:left w:val="single" w:sz="4" w:space="0" w:color="auto"/>
              <w:bottom w:val="single" w:sz="4" w:space="0" w:color="auto"/>
              <w:right w:val="single" w:sz="4" w:space="0" w:color="auto"/>
            </w:tcBorders>
            <w:shd w:val="clear" w:color="auto" w:fill="auto"/>
          </w:tcPr>
          <w:p w14:paraId="49DC6354"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Nemokamas maitinimas</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26DB7897"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Aprūpinimas mokinio reikmenimis</w:t>
            </w:r>
          </w:p>
        </w:tc>
      </w:tr>
      <w:tr w:rsidR="00516B95" w:rsidRPr="00B23206" w14:paraId="5DB08313" w14:textId="77777777" w:rsidTr="00381AA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A8F052D"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6BC66703" w14:textId="77777777" w:rsidR="00516B95" w:rsidRPr="00B23206" w:rsidRDefault="00516B95" w:rsidP="00DD56F9">
            <w:pPr>
              <w:spacing w:after="0" w:line="24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Skirtos lėšos, tūkst. Eur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6ACBDC" w14:textId="77777777" w:rsidR="00516B95" w:rsidRPr="00B23206" w:rsidRDefault="00516B95" w:rsidP="00DD56F9">
            <w:pPr>
              <w:spacing w:after="0" w:line="24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Mokinių skaičius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D1B94CE" w14:textId="77777777" w:rsidR="00516B95" w:rsidRPr="00B23206" w:rsidRDefault="00516B95" w:rsidP="00DD56F9">
            <w:pPr>
              <w:spacing w:after="0" w:line="24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Skirtos lėšos, tūkst. Eur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289388"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Mokinių skaičius</w:t>
            </w:r>
          </w:p>
        </w:tc>
      </w:tr>
      <w:tr w:rsidR="00516B95" w:rsidRPr="00B23206" w14:paraId="52EBB003" w14:textId="77777777" w:rsidTr="00381AA7">
        <w:tc>
          <w:tcPr>
            <w:tcW w:w="1542" w:type="dxa"/>
            <w:tcBorders>
              <w:top w:val="single" w:sz="4" w:space="0" w:color="auto"/>
              <w:left w:val="single" w:sz="4" w:space="0" w:color="auto"/>
              <w:bottom w:val="single" w:sz="4" w:space="0" w:color="auto"/>
              <w:right w:val="single" w:sz="4" w:space="0" w:color="auto"/>
            </w:tcBorders>
            <w:shd w:val="clear" w:color="auto" w:fill="auto"/>
          </w:tcPr>
          <w:p w14:paraId="57A1525B"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2020</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62E160D2" w14:textId="77777777" w:rsidR="00516B95" w:rsidRPr="00B23206" w:rsidRDefault="00516B95" w:rsidP="00DD56F9">
            <w:pPr>
              <w:spacing w:after="0" w:line="360" w:lineRule="auto"/>
              <w:jc w:val="both"/>
              <w:rPr>
                <w:rFonts w:eastAsia="Times New Roman" w:cs="Times New Roman"/>
                <w:kern w:val="0"/>
                <w:sz w:val="22"/>
                <w:szCs w:val="24"/>
                <w:lang w:eastAsia="lt-LT"/>
                <w14:ligatures w14:val="none"/>
              </w:rPr>
            </w:pPr>
            <w:r w:rsidRPr="00B23206">
              <w:rPr>
                <w:rFonts w:eastAsia="Times New Roman" w:cs="Times New Roman"/>
                <w:kern w:val="0"/>
                <w:sz w:val="22"/>
                <w:szCs w:val="24"/>
                <w:lang w:eastAsia="lt-LT"/>
                <w14:ligatures w14:val="none"/>
              </w:rPr>
              <w:t>135422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4C4A7A"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532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D223A1" w14:textId="77777777" w:rsidR="00516B95" w:rsidRPr="00B23206" w:rsidRDefault="00516B95" w:rsidP="00DD56F9">
            <w:pPr>
              <w:spacing w:after="0" w:line="360" w:lineRule="auto"/>
              <w:jc w:val="both"/>
              <w:rPr>
                <w:rFonts w:eastAsia="Times New Roman" w:cs="Times New Roman"/>
                <w:kern w:val="0"/>
                <w:lang w:eastAsia="lt-LT"/>
                <w14:ligatures w14:val="none"/>
              </w:rPr>
            </w:pPr>
            <w:r w:rsidRPr="00B23206">
              <w:rPr>
                <w:rFonts w:eastAsia="Times New Roman" w:cs="Times New Roman"/>
                <w:kern w:val="0"/>
                <w:lang w:eastAsia="lt-LT"/>
                <w14:ligatures w14:val="none"/>
              </w:rPr>
              <w:t>24258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ADB452"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311</w:t>
            </w:r>
          </w:p>
        </w:tc>
      </w:tr>
      <w:tr w:rsidR="00516B95" w:rsidRPr="00B23206" w14:paraId="1B28301C" w14:textId="77777777" w:rsidTr="00381AA7">
        <w:tc>
          <w:tcPr>
            <w:tcW w:w="1542" w:type="dxa"/>
            <w:tcBorders>
              <w:top w:val="single" w:sz="4" w:space="0" w:color="auto"/>
              <w:left w:val="single" w:sz="4" w:space="0" w:color="auto"/>
              <w:bottom w:val="single" w:sz="4" w:space="0" w:color="auto"/>
              <w:right w:val="single" w:sz="4" w:space="0" w:color="auto"/>
            </w:tcBorders>
            <w:shd w:val="clear" w:color="auto" w:fill="auto"/>
          </w:tcPr>
          <w:p w14:paraId="36CC579B"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2021</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8499A17" w14:textId="77777777" w:rsidR="00516B95" w:rsidRPr="00B23206" w:rsidRDefault="00516B95" w:rsidP="00DD56F9">
            <w:pPr>
              <w:spacing w:after="0" w:line="360" w:lineRule="auto"/>
              <w:jc w:val="both"/>
              <w:rPr>
                <w:rFonts w:eastAsia="Times New Roman" w:cs="Times New Roman"/>
                <w:kern w:val="0"/>
                <w:sz w:val="22"/>
                <w:szCs w:val="24"/>
                <w:lang w:eastAsia="lt-LT"/>
                <w14:ligatures w14:val="none"/>
              </w:rPr>
            </w:pPr>
            <w:r w:rsidRPr="00B23206">
              <w:rPr>
                <w:rFonts w:eastAsia="Times New Roman" w:cs="Times New Roman"/>
                <w:kern w:val="0"/>
                <w:sz w:val="22"/>
                <w:szCs w:val="24"/>
                <w:lang w:eastAsia="lt-LT"/>
                <w14:ligatures w14:val="none"/>
              </w:rPr>
              <w:t>166241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A95AD2"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593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0DE46E" w14:textId="77777777" w:rsidR="00516B95" w:rsidRPr="00B23206" w:rsidRDefault="00516B95" w:rsidP="00DD56F9">
            <w:pPr>
              <w:spacing w:after="0" w:line="360" w:lineRule="auto"/>
              <w:jc w:val="both"/>
              <w:rPr>
                <w:rFonts w:eastAsia="Times New Roman" w:cs="Times New Roman"/>
                <w:kern w:val="0"/>
                <w:lang w:eastAsia="lt-LT"/>
                <w14:ligatures w14:val="none"/>
              </w:rPr>
            </w:pPr>
            <w:r w:rsidRPr="00B23206">
              <w:rPr>
                <w:rFonts w:eastAsia="Times New Roman" w:cs="Times New Roman"/>
                <w:kern w:val="0"/>
                <w:lang w:eastAsia="lt-LT"/>
                <w14:ligatures w14:val="none"/>
              </w:rPr>
              <w:t>22160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6014E5E"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295</w:t>
            </w:r>
          </w:p>
        </w:tc>
      </w:tr>
      <w:tr w:rsidR="00516B95" w:rsidRPr="00B23206" w14:paraId="23B1910E" w14:textId="77777777" w:rsidTr="00381AA7">
        <w:tc>
          <w:tcPr>
            <w:tcW w:w="1542" w:type="dxa"/>
            <w:tcBorders>
              <w:top w:val="single" w:sz="4" w:space="0" w:color="auto"/>
              <w:left w:val="single" w:sz="4" w:space="0" w:color="auto"/>
              <w:bottom w:val="single" w:sz="4" w:space="0" w:color="auto"/>
              <w:right w:val="single" w:sz="4" w:space="0" w:color="auto"/>
            </w:tcBorders>
            <w:shd w:val="clear" w:color="auto" w:fill="auto"/>
          </w:tcPr>
          <w:p w14:paraId="6FCA7258"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2022</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44918172" w14:textId="77777777" w:rsidR="00516B95" w:rsidRPr="00B23206" w:rsidRDefault="00516B95" w:rsidP="00DD56F9">
            <w:pPr>
              <w:spacing w:after="0" w:line="360" w:lineRule="auto"/>
              <w:jc w:val="both"/>
              <w:rPr>
                <w:rFonts w:eastAsia="Times New Roman" w:cs="Times New Roman"/>
                <w:kern w:val="0"/>
                <w:sz w:val="22"/>
                <w:szCs w:val="24"/>
                <w:lang w:eastAsia="lt-LT"/>
                <w14:ligatures w14:val="none"/>
              </w:rPr>
            </w:pPr>
            <w:r w:rsidRPr="00B23206">
              <w:rPr>
                <w:rFonts w:eastAsia="Times New Roman" w:cs="Times New Roman"/>
                <w:kern w:val="0"/>
                <w:sz w:val="22"/>
                <w:szCs w:val="24"/>
                <w:lang w:eastAsia="lt-LT"/>
                <w14:ligatures w14:val="none"/>
              </w:rPr>
              <w:t>182505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1FC669"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628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0B755F" w14:textId="77777777" w:rsidR="00516B95" w:rsidRPr="00B23206" w:rsidRDefault="00516B95" w:rsidP="00DD56F9">
            <w:pPr>
              <w:spacing w:after="0" w:line="360" w:lineRule="auto"/>
              <w:jc w:val="both"/>
              <w:rPr>
                <w:rFonts w:eastAsia="Times New Roman" w:cs="Times New Roman"/>
                <w:kern w:val="0"/>
                <w:lang w:eastAsia="lt-LT"/>
                <w14:ligatures w14:val="none"/>
              </w:rPr>
            </w:pPr>
            <w:r w:rsidRPr="00B23206">
              <w:rPr>
                <w:rFonts w:eastAsia="Times New Roman" w:cs="Times New Roman"/>
                <w:kern w:val="0"/>
                <w:lang w:eastAsia="lt-LT"/>
                <w14:ligatures w14:val="none"/>
              </w:rPr>
              <w:t>28428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DA2A570"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309</w:t>
            </w:r>
          </w:p>
        </w:tc>
      </w:tr>
      <w:tr w:rsidR="00516B95" w:rsidRPr="00B23206" w14:paraId="39C4C539" w14:textId="77777777" w:rsidTr="00381AA7">
        <w:tc>
          <w:tcPr>
            <w:tcW w:w="1542" w:type="dxa"/>
            <w:tcBorders>
              <w:top w:val="single" w:sz="4" w:space="0" w:color="auto"/>
              <w:left w:val="single" w:sz="4" w:space="0" w:color="auto"/>
              <w:bottom w:val="single" w:sz="4" w:space="0" w:color="auto"/>
              <w:right w:val="single" w:sz="4" w:space="0" w:color="auto"/>
            </w:tcBorders>
            <w:shd w:val="clear" w:color="auto" w:fill="auto"/>
          </w:tcPr>
          <w:p w14:paraId="6E1697FB"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2023</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3D1667A" w14:textId="77777777" w:rsidR="00516B95" w:rsidRPr="00B23206" w:rsidRDefault="00516B95" w:rsidP="00DD56F9">
            <w:pPr>
              <w:spacing w:after="0" w:line="360" w:lineRule="auto"/>
              <w:jc w:val="both"/>
              <w:rPr>
                <w:rFonts w:eastAsia="Times New Roman" w:cs="Times New Roman"/>
                <w:kern w:val="0"/>
                <w:sz w:val="22"/>
                <w:szCs w:val="24"/>
                <w:lang w:eastAsia="lt-LT"/>
                <w14:ligatures w14:val="none"/>
              </w:rPr>
            </w:pPr>
            <w:r>
              <w:rPr>
                <w:rFonts w:eastAsia="Times New Roman" w:cs="Times New Roman"/>
                <w:kern w:val="0"/>
                <w:sz w:val="22"/>
                <w:szCs w:val="24"/>
                <w:lang w:eastAsia="lt-LT"/>
                <w14:ligatures w14:val="none"/>
              </w:rPr>
              <w:t>116725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553E8C"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603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4D4DD0" w14:textId="77777777" w:rsidR="00516B95" w:rsidRPr="00B23206" w:rsidRDefault="00516B95" w:rsidP="00DD56F9">
            <w:pPr>
              <w:spacing w:after="0" w:line="360" w:lineRule="auto"/>
              <w:jc w:val="both"/>
              <w:rPr>
                <w:rFonts w:eastAsia="Times New Roman" w:cs="Times New Roman"/>
                <w:kern w:val="0"/>
                <w:lang w:eastAsia="lt-LT"/>
                <w14:ligatures w14:val="none"/>
              </w:rPr>
            </w:pPr>
            <w:r>
              <w:rPr>
                <w:rFonts w:eastAsia="Times New Roman" w:cs="Times New Roman"/>
                <w:kern w:val="0"/>
                <w:lang w:eastAsia="lt-LT"/>
                <w14:ligatures w14:val="none"/>
              </w:rPr>
              <w:t>27930</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AEECF2"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285</w:t>
            </w:r>
          </w:p>
        </w:tc>
      </w:tr>
    </w:tbl>
    <w:p w14:paraId="4CCEF638" w14:textId="77777777" w:rsidR="00516B95" w:rsidRPr="00B23206" w:rsidRDefault="00516B95" w:rsidP="00DD56F9">
      <w:pPr>
        <w:spacing w:after="0" w:line="360" w:lineRule="auto"/>
        <w:jc w:val="both"/>
        <w:rPr>
          <w:rFonts w:eastAsia="Times New Roman" w:cs="Times New Roman"/>
          <w:b/>
          <w:kern w:val="0"/>
          <w:szCs w:val="24"/>
          <w:lang w:eastAsia="lt-LT"/>
          <w14:ligatures w14:val="none"/>
        </w:rPr>
      </w:pPr>
    </w:p>
    <w:p w14:paraId="3F896CD0" w14:textId="77777777" w:rsidR="00516B95" w:rsidRPr="00B23206" w:rsidRDefault="00516B95" w:rsidP="00DD56F9">
      <w:pPr>
        <w:spacing w:after="0" w:line="360" w:lineRule="auto"/>
        <w:jc w:val="both"/>
        <w:rPr>
          <w:rFonts w:eastAsia="Times New Roman" w:cs="Times New Roman"/>
          <w:b/>
          <w:kern w:val="0"/>
          <w:szCs w:val="24"/>
          <w:lang w:eastAsia="lt-LT"/>
          <w14:ligatures w14:val="none"/>
        </w:rPr>
      </w:pPr>
      <w:r w:rsidRPr="00B23206">
        <w:rPr>
          <w:rFonts w:eastAsia="Times New Roman" w:cs="Times New Roman"/>
          <w:b/>
          <w:kern w:val="0"/>
          <w:szCs w:val="24"/>
          <w:lang w:eastAsia="lt-LT"/>
          <w14:ligatures w14:val="none"/>
        </w:rPr>
        <w:t xml:space="preserve">      Mokinių vežimas</w:t>
      </w:r>
    </w:p>
    <w:p w14:paraId="1620392A"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760"/>
        <w:gridCol w:w="3037"/>
      </w:tblGrid>
      <w:tr w:rsidR="00516B95" w:rsidRPr="00B23206" w14:paraId="5A407A24" w14:textId="77777777" w:rsidTr="00381AA7">
        <w:tc>
          <w:tcPr>
            <w:tcW w:w="1809" w:type="dxa"/>
            <w:shd w:val="clear" w:color="auto" w:fill="auto"/>
          </w:tcPr>
          <w:p w14:paraId="6D3DAC50" w14:textId="77777777" w:rsidR="00516B95" w:rsidRPr="00B23206" w:rsidRDefault="00516B95" w:rsidP="00DD56F9">
            <w:pPr>
              <w:spacing w:after="0" w:line="360" w:lineRule="auto"/>
              <w:jc w:val="both"/>
              <w:rPr>
                <w:rFonts w:ascii="Calibri" w:eastAsia="Calibri" w:hAnsi="Calibri" w:cs="Times New Roman"/>
                <w:kern w:val="0"/>
                <w:szCs w:val="24"/>
                <w:lang w:eastAsia="lt-LT"/>
                <w14:ligatures w14:val="none"/>
              </w:rPr>
            </w:pPr>
            <w:r w:rsidRPr="00B23206">
              <w:rPr>
                <w:rFonts w:eastAsia="Calibri" w:cs="Times New Roman"/>
                <w:kern w:val="0"/>
                <w:szCs w:val="24"/>
                <w:lang w:eastAsia="lt-LT"/>
                <w14:ligatures w14:val="none"/>
              </w:rPr>
              <w:t>Metai</w:t>
            </w:r>
          </w:p>
        </w:tc>
        <w:tc>
          <w:tcPr>
            <w:tcW w:w="4760" w:type="dxa"/>
            <w:shd w:val="clear" w:color="auto" w:fill="auto"/>
          </w:tcPr>
          <w:p w14:paraId="720871C5"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Pavežamų mokinių skaičius</w:t>
            </w:r>
          </w:p>
        </w:tc>
        <w:tc>
          <w:tcPr>
            <w:tcW w:w="3037" w:type="dxa"/>
            <w:shd w:val="clear" w:color="auto" w:fill="auto"/>
          </w:tcPr>
          <w:p w14:paraId="49018462"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Procentai</w:t>
            </w:r>
          </w:p>
        </w:tc>
      </w:tr>
      <w:tr w:rsidR="00516B95" w:rsidRPr="00B23206" w14:paraId="1C710A97" w14:textId="77777777" w:rsidTr="00381AA7">
        <w:tc>
          <w:tcPr>
            <w:tcW w:w="1809" w:type="dxa"/>
            <w:shd w:val="clear" w:color="auto" w:fill="auto"/>
          </w:tcPr>
          <w:p w14:paraId="769AAF69"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2020</w:t>
            </w:r>
          </w:p>
        </w:tc>
        <w:tc>
          <w:tcPr>
            <w:tcW w:w="4760" w:type="dxa"/>
            <w:shd w:val="clear" w:color="auto" w:fill="auto"/>
          </w:tcPr>
          <w:p w14:paraId="27484469"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692</w:t>
            </w:r>
          </w:p>
        </w:tc>
        <w:tc>
          <w:tcPr>
            <w:tcW w:w="3037" w:type="dxa"/>
            <w:shd w:val="clear" w:color="auto" w:fill="auto"/>
          </w:tcPr>
          <w:p w14:paraId="1A752DF7"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eastAsia="lt-LT"/>
                <w14:ligatures w14:val="none"/>
              </w:rPr>
              <w:t>4</w:t>
            </w:r>
            <w:r w:rsidRPr="00B23206">
              <w:rPr>
                <w:rFonts w:eastAsia="Calibri" w:cs="Times New Roman"/>
                <w:kern w:val="0"/>
                <w:szCs w:val="24"/>
                <w:lang w:val="en-US" w:eastAsia="lt-LT"/>
                <w14:ligatures w14:val="none"/>
              </w:rPr>
              <w:t>2,5</w:t>
            </w:r>
          </w:p>
        </w:tc>
      </w:tr>
      <w:tr w:rsidR="00516B95" w:rsidRPr="00B23206" w14:paraId="7E28C45D" w14:textId="77777777" w:rsidTr="00381AA7">
        <w:tc>
          <w:tcPr>
            <w:tcW w:w="1809" w:type="dxa"/>
            <w:shd w:val="clear" w:color="auto" w:fill="auto"/>
          </w:tcPr>
          <w:p w14:paraId="37AFFCA0"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2021</w:t>
            </w:r>
          </w:p>
        </w:tc>
        <w:tc>
          <w:tcPr>
            <w:tcW w:w="4760" w:type="dxa"/>
            <w:shd w:val="clear" w:color="auto" w:fill="auto"/>
          </w:tcPr>
          <w:p w14:paraId="757B61AF"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649</w:t>
            </w:r>
          </w:p>
        </w:tc>
        <w:tc>
          <w:tcPr>
            <w:tcW w:w="3037" w:type="dxa"/>
            <w:shd w:val="clear" w:color="auto" w:fill="auto"/>
          </w:tcPr>
          <w:p w14:paraId="195F756E"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 xml:space="preserve">43,2 </w:t>
            </w:r>
          </w:p>
        </w:tc>
      </w:tr>
      <w:tr w:rsidR="00516B95" w:rsidRPr="00B23206" w14:paraId="27AC1229" w14:textId="77777777" w:rsidTr="00381AA7">
        <w:tc>
          <w:tcPr>
            <w:tcW w:w="1809" w:type="dxa"/>
            <w:shd w:val="clear" w:color="auto" w:fill="auto"/>
          </w:tcPr>
          <w:p w14:paraId="7D0227F5"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2022</w:t>
            </w:r>
          </w:p>
        </w:tc>
        <w:tc>
          <w:tcPr>
            <w:tcW w:w="4760" w:type="dxa"/>
            <w:shd w:val="clear" w:color="auto" w:fill="auto"/>
          </w:tcPr>
          <w:p w14:paraId="56C3CBBA" w14:textId="77777777" w:rsidR="00516B95" w:rsidRPr="00B23206" w:rsidRDefault="00516B95" w:rsidP="00DD56F9">
            <w:pPr>
              <w:spacing w:after="0" w:line="360" w:lineRule="auto"/>
              <w:jc w:val="both"/>
              <w:rPr>
                <w:rFonts w:eastAsia="Calibri" w:cs="Times New Roman"/>
                <w:kern w:val="0"/>
                <w:szCs w:val="24"/>
                <w:lang w:val="en-US" w:eastAsia="lt-LT"/>
                <w14:ligatures w14:val="none"/>
              </w:rPr>
            </w:pPr>
            <w:r w:rsidRPr="00B23206">
              <w:rPr>
                <w:rFonts w:eastAsia="Calibri" w:cs="Times New Roman"/>
                <w:kern w:val="0"/>
                <w:szCs w:val="24"/>
                <w:lang w:val="en-US" w:eastAsia="lt-LT"/>
                <w14:ligatures w14:val="none"/>
              </w:rPr>
              <w:t>686</w:t>
            </w:r>
          </w:p>
        </w:tc>
        <w:tc>
          <w:tcPr>
            <w:tcW w:w="3037" w:type="dxa"/>
            <w:shd w:val="clear" w:color="auto" w:fill="auto"/>
          </w:tcPr>
          <w:p w14:paraId="306B83CD" w14:textId="77777777" w:rsidR="00516B95" w:rsidRPr="00B23206" w:rsidRDefault="00516B95" w:rsidP="00DD56F9">
            <w:pPr>
              <w:spacing w:after="0" w:line="360" w:lineRule="auto"/>
              <w:jc w:val="both"/>
              <w:rPr>
                <w:rFonts w:eastAsia="Calibri" w:cs="Times New Roman"/>
                <w:kern w:val="0"/>
                <w:szCs w:val="24"/>
                <w:lang w:eastAsia="lt-LT"/>
                <w14:ligatures w14:val="none"/>
              </w:rPr>
            </w:pPr>
            <w:r w:rsidRPr="00B23206">
              <w:rPr>
                <w:rFonts w:eastAsia="Calibri" w:cs="Times New Roman"/>
                <w:kern w:val="0"/>
                <w:szCs w:val="24"/>
                <w:lang w:eastAsia="lt-LT"/>
                <w14:ligatures w14:val="none"/>
              </w:rPr>
              <w:t>42,9</w:t>
            </w:r>
          </w:p>
        </w:tc>
      </w:tr>
      <w:tr w:rsidR="00516B95" w:rsidRPr="00B23206" w14:paraId="1A5D43FE" w14:textId="77777777" w:rsidTr="00381AA7">
        <w:tc>
          <w:tcPr>
            <w:tcW w:w="1809" w:type="dxa"/>
            <w:shd w:val="clear" w:color="auto" w:fill="auto"/>
          </w:tcPr>
          <w:p w14:paraId="0F417BB3" w14:textId="77777777" w:rsidR="00516B95" w:rsidRPr="00FC2F3A" w:rsidRDefault="00516B95" w:rsidP="00DD56F9">
            <w:pPr>
              <w:spacing w:after="0" w:line="360" w:lineRule="auto"/>
              <w:jc w:val="both"/>
              <w:rPr>
                <w:rFonts w:eastAsia="Calibri" w:cs="Times New Roman"/>
                <w:kern w:val="0"/>
                <w:szCs w:val="24"/>
                <w:lang w:eastAsia="lt-LT"/>
                <w14:ligatures w14:val="none"/>
              </w:rPr>
            </w:pPr>
            <w:r w:rsidRPr="00FC2F3A">
              <w:rPr>
                <w:rFonts w:eastAsia="Calibri" w:cs="Times New Roman"/>
                <w:kern w:val="0"/>
                <w:szCs w:val="24"/>
                <w:lang w:eastAsia="lt-LT"/>
                <w14:ligatures w14:val="none"/>
              </w:rPr>
              <w:t>2023</w:t>
            </w:r>
          </w:p>
        </w:tc>
        <w:tc>
          <w:tcPr>
            <w:tcW w:w="4760" w:type="dxa"/>
            <w:shd w:val="clear" w:color="auto" w:fill="auto"/>
          </w:tcPr>
          <w:p w14:paraId="5E333C78" w14:textId="77777777" w:rsidR="00516B95" w:rsidRPr="00FC2F3A" w:rsidRDefault="00516B95" w:rsidP="00DD56F9">
            <w:pPr>
              <w:spacing w:after="0" w:line="360" w:lineRule="auto"/>
              <w:jc w:val="both"/>
              <w:rPr>
                <w:rFonts w:eastAsia="Calibri" w:cs="Times New Roman"/>
                <w:kern w:val="0"/>
                <w:szCs w:val="24"/>
                <w:lang w:val="en-US" w:eastAsia="lt-LT"/>
                <w14:ligatures w14:val="none"/>
              </w:rPr>
            </w:pPr>
            <w:r w:rsidRPr="00FC2F3A">
              <w:rPr>
                <w:rFonts w:eastAsia="Calibri" w:cs="Times New Roman"/>
                <w:kern w:val="0"/>
                <w:szCs w:val="24"/>
                <w:lang w:val="en-US" w:eastAsia="lt-LT"/>
                <w14:ligatures w14:val="none"/>
              </w:rPr>
              <w:t>68</w:t>
            </w:r>
            <w:r>
              <w:rPr>
                <w:rFonts w:eastAsia="Calibri" w:cs="Times New Roman"/>
                <w:kern w:val="0"/>
                <w:szCs w:val="24"/>
                <w:lang w:val="en-US" w:eastAsia="lt-LT"/>
                <w14:ligatures w14:val="none"/>
              </w:rPr>
              <w:t>0</w:t>
            </w:r>
          </w:p>
        </w:tc>
        <w:tc>
          <w:tcPr>
            <w:tcW w:w="3037" w:type="dxa"/>
            <w:shd w:val="clear" w:color="auto" w:fill="auto"/>
          </w:tcPr>
          <w:p w14:paraId="6EA3BB81" w14:textId="77777777" w:rsidR="00516B95" w:rsidRPr="00FC2F3A" w:rsidRDefault="00516B95" w:rsidP="00DD56F9">
            <w:pPr>
              <w:spacing w:after="0" w:line="360" w:lineRule="auto"/>
              <w:jc w:val="both"/>
              <w:rPr>
                <w:rFonts w:eastAsia="Calibri" w:cs="Times New Roman"/>
                <w:kern w:val="0"/>
                <w:szCs w:val="24"/>
                <w:lang w:eastAsia="lt-LT"/>
                <w14:ligatures w14:val="none"/>
              </w:rPr>
            </w:pPr>
            <w:r>
              <w:rPr>
                <w:rFonts w:eastAsia="Calibri" w:cs="Times New Roman"/>
                <w:kern w:val="0"/>
                <w:szCs w:val="24"/>
                <w:lang w:eastAsia="lt-LT"/>
                <w14:ligatures w14:val="none"/>
              </w:rPr>
              <w:t>42</w:t>
            </w:r>
            <w:r w:rsidRPr="00FC2F3A">
              <w:rPr>
                <w:rFonts w:eastAsia="Calibri" w:cs="Times New Roman"/>
                <w:kern w:val="0"/>
                <w:szCs w:val="24"/>
                <w:lang w:eastAsia="lt-LT"/>
                <w14:ligatures w14:val="none"/>
              </w:rPr>
              <w:t>,</w:t>
            </w:r>
            <w:r>
              <w:rPr>
                <w:rFonts w:eastAsia="Calibri" w:cs="Times New Roman"/>
                <w:kern w:val="0"/>
                <w:szCs w:val="24"/>
                <w:lang w:eastAsia="lt-LT"/>
                <w14:ligatures w14:val="none"/>
              </w:rPr>
              <w:t>7</w:t>
            </w:r>
          </w:p>
        </w:tc>
      </w:tr>
    </w:tbl>
    <w:p w14:paraId="07063221" w14:textId="77777777" w:rsidR="00516B95" w:rsidRPr="00B23206" w:rsidRDefault="00516B95" w:rsidP="00DD56F9">
      <w:pPr>
        <w:spacing w:after="0" w:line="360" w:lineRule="auto"/>
        <w:jc w:val="both"/>
        <w:rPr>
          <w:rFonts w:eastAsia="Times New Roman" w:cs="Times New Roman"/>
          <w:kern w:val="0"/>
          <w:szCs w:val="24"/>
          <w:lang w:eastAsia="lt-LT"/>
          <w14:ligatures w14:val="none"/>
        </w:rPr>
      </w:pPr>
    </w:p>
    <w:p w14:paraId="13BDE113" w14:textId="67528673" w:rsidR="00516B95" w:rsidRPr="00B23206" w:rsidRDefault="00516B95" w:rsidP="00DD56F9">
      <w:pPr>
        <w:spacing w:after="0" w:line="360" w:lineRule="auto"/>
        <w:jc w:val="both"/>
        <w:rPr>
          <w:rFonts w:eastAsia="Times New Roman" w:cs="Times New Roman"/>
          <w:kern w:val="0"/>
          <w:szCs w:val="24"/>
          <w:lang w:eastAsia="lt-LT"/>
          <w14:ligatures w14:val="none"/>
        </w:rPr>
      </w:pPr>
      <w:r w:rsidRPr="00B23206">
        <w:rPr>
          <w:rFonts w:eastAsia="Times New Roman" w:cs="Times New Roman"/>
          <w:kern w:val="0"/>
          <w:szCs w:val="24"/>
          <w:lang w:eastAsia="lt-LT"/>
          <w14:ligatures w14:val="none"/>
        </w:rPr>
        <w:t xml:space="preserve">     </w:t>
      </w:r>
      <w:r w:rsidR="004D16E7">
        <w:rPr>
          <w:rFonts w:eastAsia="Times New Roman" w:cs="Times New Roman"/>
          <w:kern w:val="0"/>
          <w:szCs w:val="24"/>
          <w:lang w:eastAsia="lt-LT"/>
          <w14:ligatures w14:val="none"/>
        </w:rPr>
        <w:t xml:space="preserve">    </w:t>
      </w:r>
      <w:r w:rsidRPr="00B23206">
        <w:rPr>
          <w:rFonts w:eastAsia="Times New Roman" w:cs="Times New Roman"/>
          <w:kern w:val="0"/>
          <w:szCs w:val="24"/>
          <w:lang w:eastAsia="lt-LT"/>
          <w14:ligatures w14:val="none"/>
        </w:rPr>
        <w:t xml:space="preserve">Mokyklų autobusai pritaikyti mokinių vežimo poreikiams tenkinti. Visuomeninio transporto maršrutai priderinti mokinių </w:t>
      </w:r>
      <w:r>
        <w:rPr>
          <w:rFonts w:eastAsia="Times New Roman" w:cs="Times New Roman"/>
          <w:kern w:val="0"/>
          <w:szCs w:val="24"/>
          <w:lang w:eastAsia="lt-LT"/>
          <w14:ligatures w14:val="none"/>
        </w:rPr>
        <w:t xml:space="preserve">patogumui ir </w:t>
      </w:r>
      <w:r w:rsidRPr="00B23206">
        <w:rPr>
          <w:rFonts w:eastAsia="Times New Roman" w:cs="Times New Roman"/>
          <w:kern w:val="0"/>
          <w:szCs w:val="24"/>
          <w:lang w:eastAsia="lt-LT"/>
          <w14:ligatures w14:val="none"/>
        </w:rPr>
        <w:t xml:space="preserve">poreikiams. Pavežami visi mokiniai, kurie gyvena toliau kaip 3 km nuo mokyklos. </w:t>
      </w:r>
      <w:r w:rsidR="0082037F">
        <w:rPr>
          <w:rFonts w:eastAsia="Times New Roman" w:cs="Times New Roman"/>
          <w:kern w:val="0"/>
          <w:szCs w:val="24"/>
          <w:lang w:eastAsia="lt-LT"/>
          <w14:ligatures w14:val="none"/>
        </w:rPr>
        <w:t>Savivaldybė už savo</w:t>
      </w:r>
      <w:r w:rsidRPr="00170687">
        <w:rPr>
          <w:rFonts w:eastAsia="Times New Roman" w:cs="Times New Roman"/>
          <w:kern w:val="0"/>
          <w:szCs w:val="24"/>
          <w:lang w:eastAsia="lt-LT"/>
          <w14:ligatures w14:val="none"/>
        </w:rPr>
        <w:t xml:space="preserve"> lėšas, skirtas mokyklų tinklo sutvarkymui, nupirko ir Molėtų r. Alantos ir Molėtų r. Giedraičių Antano Jaroševičiaus gimnazijoms paskyrė </w:t>
      </w:r>
      <w:r w:rsidR="00C34C71">
        <w:rPr>
          <w:rFonts w:eastAsia="Times New Roman" w:cs="Times New Roman"/>
          <w:kern w:val="0"/>
          <w:szCs w:val="24"/>
          <w:lang w:eastAsia="lt-LT"/>
          <w14:ligatures w14:val="none"/>
        </w:rPr>
        <w:t xml:space="preserve">du </w:t>
      </w:r>
      <w:r w:rsidRPr="00170687">
        <w:rPr>
          <w:rFonts w:eastAsia="Times New Roman" w:cs="Times New Roman"/>
          <w:kern w:val="0"/>
          <w:szCs w:val="24"/>
          <w:lang w:eastAsia="lt-LT"/>
          <w14:ligatures w14:val="none"/>
        </w:rPr>
        <w:t>16 vietų elektrinius autobusus.</w:t>
      </w:r>
    </w:p>
    <w:p w14:paraId="76705B82" w14:textId="77777777" w:rsidR="00516B95" w:rsidRDefault="00516B95" w:rsidP="00DD56F9">
      <w:pPr>
        <w:spacing w:after="0" w:line="360" w:lineRule="auto"/>
        <w:jc w:val="both"/>
        <w:rPr>
          <w:rFonts w:eastAsia="Times New Roman" w:cs="Times New Roman"/>
          <w:kern w:val="0"/>
          <w:szCs w:val="24"/>
          <w:shd w:val="clear" w:color="auto" w:fill="FFFFFF"/>
          <w:lang w:eastAsia="lt-LT"/>
          <w14:ligatures w14:val="none"/>
        </w:rPr>
      </w:pPr>
      <w:r w:rsidRPr="00B23206">
        <w:rPr>
          <w:rFonts w:eastAsia="Times New Roman" w:cs="Times New Roman"/>
          <w:kern w:val="0"/>
          <w:szCs w:val="24"/>
          <w:lang w:eastAsia="lt-LT"/>
          <w14:ligatures w14:val="none"/>
        </w:rPr>
        <w:t xml:space="preserve">          Buvo parengti Kultūros ir švietimo skyriaus vedėjo įsakymai dėl</w:t>
      </w:r>
      <w:r w:rsidRPr="00B23206">
        <w:rPr>
          <w:rFonts w:eastAsia="Times New Roman" w:cs="Times New Roman"/>
          <w:kern w:val="0"/>
          <w:szCs w:val="24"/>
          <w:shd w:val="clear" w:color="auto" w:fill="FFFFFF"/>
          <w:lang w:eastAsia="lt-LT"/>
          <w14:ligatures w14:val="none"/>
        </w:rPr>
        <w:t xml:space="preserve"> mokyklinių autobusų važiavimo grafikų ir maršrutų 202</w:t>
      </w:r>
      <w:r w:rsidRPr="004771CA">
        <w:rPr>
          <w:rFonts w:eastAsia="Times New Roman" w:cs="Times New Roman"/>
          <w:kern w:val="0"/>
          <w:szCs w:val="24"/>
          <w:shd w:val="clear" w:color="auto" w:fill="FFFFFF"/>
          <w:lang w:eastAsia="lt-LT"/>
          <w14:ligatures w14:val="none"/>
        </w:rPr>
        <w:t>3</w:t>
      </w:r>
      <w:r w:rsidRPr="00B23206">
        <w:rPr>
          <w:rFonts w:eastAsia="Times New Roman" w:cs="Times New Roman"/>
          <w:kern w:val="0"/>
          <w:szCs w:val="24"/>
          <w:shd w:val="clear" w:color="auto" w:fill="FFFFFF"/>
          <w:lang w:eastAsia="lt-LT"/>
          <w14:ligatures w14:val="none"/>
        </w:rPr>
        <w:t>-202</w:t>
      </w:r>
      <w:r w:rsidRPr="004771CA">
        <w:rPr>
          <w:rFonts w:eastAsia="Times New Roman" w:cs="Times New Roman"/>
          <w:kern w:val="0"/>
          <w:szCs w:val="24"/>
          <w:shd w:val="clear" w:color="auto" w:fill="FFFFFF"/>
          <w:lang w:eastAsia="lt-LT"/>
          <w14:ligatures w14:val="none"/>
        </w:rPr>
        <w:t>4</w:t>
      </w:r>
      <w:r w:rsidRPr="00B23206">
        <w:rPr>
          <w:rFonts w:eastAsia="Times New Roman" w:cs="Times New Roman"/>
          <w:kern w:val="0"/>
          <w:szCs w:val="24"/>
          <w:shd w:val="clear" w:color="auto" w:fill="FFFFFF"/>
          <w:lang w:eastAsia="lt-LT"/>
          <w14:ligatures w14:val="none"/>
        </w:rPr>
        <w:t xml:space="preserve"> mokslo metais suderinimo, vykdytas įsakymų įgyvendinimas bei priežiūra.</w:t>
      </w:r>
    </w:p>
    <w:p w14:paraId="254EF361" w14:textId="77777777" w:rsidR="00C34C71" w:rsidRDefault="00C34C71" w:rsidP="00DD56F9">
      <w:pPr>
        <w:spacing w:after="0" w:line="360" w:lineRule="auto"/>
        <w:jc w:val="both"/>
        <w:rPr>
          <w:rFonts w:eastAsia="Times New Roman" w:cs="Times New Roman"/>
          <w:kern w:val="0"/>
          <w:szCs w:val="24"/>
          <w:shd w:val="clear" w:color="auto" w:fill="FFFFFF"/>
          <w:lang w:eastAsia="lt-LT"/>
          <w14:ligatures w14:val="none"/>
        </w:rPr>
      </w:pPr>
    </w:p>
    <w:p w14:paraId="60B4D103" w14:textId="77777777" w:rsidR="00C34C71" w:rsidRDefault="00C34C71" w:rsidP="00DD56F9">
      <w:pPr>
        <w:spacing w:after="0" w:line="360" w:lineRule="auto"/>
        <w:jc w:val="both"/>
        <w:rPr>
          <w:rFonts w:eastAsia="Times New Roman" w:cs="Times New Roman"/>
          <w:kern w:val="0"/>
          <w:szCs w:val="24"/>
          <w:shd w:val="clear" w:color="auto" w:fill="FFFFFF"/>
          <w:lang w:eastAsia="lt-LT"/>
          <w14:ligatures w14:val="none"/>
        </w:rPr>
      </w:pPr>
    </w:p>
    <w:p w14:paraId="46BCCCAA" w14:textId="77777777" w:rsidR="00C34C71" w:rsidRDefault="00C34C71" w:rsidP="00DD56F9">
      <w:pPr>
        <w:spacing w:after="0" w:line="360" w:lineRule="auto"/>
        <w:jc w:val="both"/>
        <w:rPr>
          <w:rFonts w:eastAsia="Times New Roman" w:cs="Times New Roman"/>
          <w:kern w:val="0"/>
          <w:szCs w:val="24"/>
          <w:shd w:val="clear" w:color="auto" w:fill="FFFFFF"/>
          <w:lang w:eastAsia="lt-LT"/>
          <w14:ligatures w14:val="none"/>
        </w:rPr>
      </w:pPr>
    </w:p>
    <w:p w14:paraId="4F73809D" w14:textId="77777777" w:rsidR="00516B95" w:rsidRDefault="00516B95" w:rsidP="00DD56F9">
      <w:pPr>
        <w:spacing w:after="0" w:line="360" w:lineRule="auto"/>
        <w:jc w:val="both"/>
        <w:rPr>
          <w:rFonts w:eastAsia="Times New Roman" w:cs="Times New Roman"/>
          <w:kern w:val="0"/>
          <w:szCs w:val="24"/>
          <w:shd w:val="clear" w:color="auto" w:fill="FFFFFF"/>
          <w:lang w:eastAsia="lt-LT"/>
          <w14:ligatures w14:val="none"/>
        </w:rPr>
      </w:pPr>
    </w:p>
    <w:p w14:paraId="1D19E094" w14:textId="77777777" w:rsidR="00516B95" w:rsidRPr="004771CA" w:rsidRDefault="00516B95" w:rsidP="00DD56F9">
      <w:pPr>
        <w:spacing w:line="360" w:lineRule="auto"/>
        <w:ind w:left="720"/>
        <w:contextualSpacing/>
        <w:jc w:val="both"/>
        <w:rPr>
          <w:rFonts w:eastAsia="Calibri" w:cs="Times New Roman"/>
          <w:b/>
          <w:kern w:val="0"/>
          <w:szCs w:val="24"/>
          <w14:ligatures w14:val="none"/>
        </w:rPr>
      </w:pPr>
      <w:r w:rsidRPr="004771CA">
        <w:rPr>
          <w:rFonts w:eastAsia="Calibri" w:cs="Times New Roman"/>
          <w:b/>
          <w:kern w:val="0"/>
          <w:szCs w:val="24"/>
          <w14:ligatures w14:val="none"/>
        </w:rPr>
        <w:t>Specialiosios pagalbos organizavimas bendrojo ugdymo mokyklose</w:t>
      </w:r>
    </w:p>
    <w:p w14:paraId="04C94391" w14:textId="77777777" w:rsidR="00516B95" w:rsidRPr="004771CA" w:rsidRDefault="00516B95" w:rsidP="00DD56F9">
      <w:pPr>
        <w:spacing w:line="360" w:lineRule="auto"/>
        <w:ind w:left="720"/>
        <w:contextualSpacing/>
        <w:jc w:val="both"/>
        <w:rPr>
          <w:rFonts w:eastAsia="Calibri" w:cs="Times New Roman"/>
          <w:kern w:val="0"/>
          <w:sz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979"/>
        <w:gridCol w:w="2979"/>
      </w:tblGrid>
      <w:tr w:rsidR="00516B95" w:rsidRPr="004771CA" w14:paraId="661C98D4" w14:textId="77777777" w:rsidTr="00381AA7">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831D530"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Metai</w:t>
            </w:r>
          </w:p>
        </w:tc>
        <w:tc>
          <w:tcPr>
            <w:tcW w:w="3043" w:type="dxa"/>
            <w:tcBorders>
              <w:top w:val="single" w:sz="4" w:space="0" w:color="auto"/>
              <w:left w:val="single" w:sz="4" w:space="0" w:color="auto"/>
              <w:bottom w:val="single" w:sz="4" w:space="0" w:color="auto"/>
              <w:right w:val="single" w:sz="4" w:space="0" w:color="auto"/>
            </w:tcBorders>
            <w:shd w:val="clear" w:color="auto" w:fill="auto"/>
            <w:hideMark/>
          </w:tcPr>
          <w:p w14:paraId="6ACC5F29" w14:textId="77777777" w:rsidR="00516B95" w:rsidRPr="004771CA" w:rsidRDefault="00516B95" w:rsidP="00DD56F9">
            <w:pPr>
              <w:spacing w:after="0" w:line="240" w:lineRule="auto"/>
              <w:contextualSpacing/>
              <w:jc w:val="both"/>
              <w:rPr>
                <w:rFonts w:eastAsia="Calibri" w:cs="Times New Roman"/>
                <w:kern w:val="0"/>
                <w:sz w:val="22"/>
                <w14:ligatures w14:val="none"/>
              </w:rPr>
            </w:pPr>
            <w:r w:rsidRPr="004771CA">
              <w:rPr>
                <w:rFonts w:eastAsia="Calibri" w:cs="Times New Roman"/>
                <w:kern w:val="0"/>
                <w:sz w:val="22"/>
                <w14:ligatures w14:val="none"/>
              </w:rPr>
              <w:t>Spec. ugdymosi poreikių turinčių mokinių skaičius</w:t>
            </w:r>
          </w:p>
        </w:tc>
        <w:tc>
          <w:tcPr>
            <w:tcW w:w="3043" w:type="dxa"/>
            <w:tcBorders>
              <w:top w:val="single" w:sz="4" w:space="0" w:color="auto"/>
              <w:left w:val="single" w:sz="4" w:space="0" w:color="auto"/>
              <w:bottom w:val="single" w:sz="4" w:space="0" w:color="auto"/>
              <w:right w:val="single" w:sz="4" w:space="0" w:color="auto"/>
            </w:tcBorders>
            <w:shd w:val="clear" w:color="auto" w:fill="auto"/>
            <w:hideMark/>
          </w:tcPr>
          <w:p w14:paraId="3D6BA819" w14:textId="77777777" w:rsidR="00516B95" w:rsidRPr="004771CA" w:rsidRDefault="00516B95" w:rsidP="00DD56F9">
            <w:pPr>
              <w:spacing w:after="0" w:line="240" w:lineRule="auto"/>
              <w:contextualSpacing/>
              <w:jc w:val="both"/>
              <w:rPr>
                <w:rFonts w:eastAsia="Calibri" w:cs="Times New Roman"/>
                <w:kern w:val="0"/>
                <w:sz w:val="22"/>
                <w14:ligatures w14:val="none"/>
              </w:rPr>
            </w:pPr>
            <w:r w:rsidRPr="004771CA">
              <w:rPr>
                <w:rFonts w:eastAsia="Calibri" w:cs="Times New Roman"/>
                <w:kern w:val="0"/>
                <w:sz w:val="22"/>
                <w14:ligatures w14:val="none"/>
              </w:rPr>
              <w:t>Procentas nuo bendro mokinių skaičiaus</w:t>
            </w:r>
          </w:p>
        </w:tc>
      </w:tr>
      <w:tr w:rsidR="00516B95" w:rsidRPr="004771CA" w14:paraId="6A1AA763" w14:textId="77777777" w:rsidTr="00381AA7">
        <w:tc>
          <w:tcPr>
            <w:tcW w:w="3768" w:type="dxa"/>
            <w:tcBorders>
              <w:top w:val="single" w:sz="4" w:space="0" w:color="auto"/>
              <w:left w:val="single" w:sz="4" w:space="0" w:color="auto"/>
              <w:bottom w:val="single" w:sz="4" w:space="0" w:color="auto"/>
              <w:right w:val="single" w:sz="4" w:space="0" w:color="auto"/>
            </w:tcBorders>
            <w:shd w:val="clear" w:color="auto" w:fill="auto"/>
          </w:tcPr>
          <w:p w14:paraId="721FDD5F"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2020</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4B7C75FB"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404</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00C6EA64"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19,5</w:t>
            </w:r>
          </w:p>
        </w:tc>
      </w:tr>
      <w:tr w:rsidR="00516B95" w:rsidRPr="004771CA" w14:paraId="3D29B2DC" w14:textId="77777777" w:rsidTr="00381AA7">
        <w:tc>
          <w:tcPr>
            <w:tcW w:w="3768" w:type="dxa"/>
            <w:tcBorders>
              <w:top w:val="single" w:sz="4" w:space="0" w:color="auto"/>
              <w:left w:val="single" w:sz="4" w:space="0" w:color="auto"/>
              <w:bottom w:val="single" w:sz="4" w:space="0" w:color="auto"/>
              <w:right w:val="single" w:sz="4" w:space="0" w:color="auto"/>
            </w:tcBorders>
            <w:shd w:val="clear" w:color="auto" w:fill="auto"/>
          </w:tcPr>
          <w:p w14:paraId="1B946F7D"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2021</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885CA48"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327</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2FADE4A7"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21,8</w:t>
            </w:r>
          </w:p>
        </w:tc>
      </w:tr>
      <w:tr w:rsidR="00516B95" w:rsidRPr="004771CA" w14:paraId="466E78B6" w14:textId="77777777" w:rsidTr="00381AA7">
        <w:tc>
          <w:tcPr>
            <w:tcW w:w="3768" w:type="dxa"/>
            <w:tcBorders>
              <w:top w:val="single" w:sz="4" w:space="0" w:color="auto"/>
              <w:left w:val="single" w:sz="4" w:space="0" w:color="auto"/>
              <w:bottom w:val="single" w:sz="4" w:space="0" w:color="auto"/>
              <w:right w:val="single" w:sz="4" w:space="0" w:color="auto"/>
            </w:tcBorders>
            <w:shd w:val="clear" w:color="auto" w:fill="auto"/>
          </w:tcPr>
          <w:p w14:paraId="03BF73BF"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2022</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62C82759"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322</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339A6DAE" w14:textId="77777777" w:rsidR="00516B95" w:rsidRPr="004771CA" w:rsidRDefault="00516B95" w:rsidP="00DD56F9">
            <w:pPr>
              <w:spacing w:after="0" w:line="360" w:lineRule="auto"/>
              <w:contextualSpacing/>
              <w:jc w:val="both"/>
              <w:rPr>
                <w:rFonts w:eastAsia="Calibri" w:cs="Times New Roman"/>
                <w:kern w:val="0"/>
                <w:sz w:val="22"/>
                <w14:ligatures w14:val="none"/>
              </w:rPr>
            </w:pPr>
            <w:r w:rsidRPr="004771CA">
              <w:rPr>
                <w:rFonts w:eastAsia="Calibri" w:cs="Times New Roman"/>
                <w:kern w:val="0"/>
                <w:sz w:val="22"/>
                <w14:ligatures w14:val="none"/>
              </w:rPr>
              <w:t>21</w:t>
            </w:r>
          </w:p>
        </w:tc>
      </w:tr>
      <w:tr w:rsidR="00516B95" w:rsidRPr="004771CA" w14:paraId="7CC93AA0" w14:textId="77777777" w:rsidTr="00381AA7">
        <w:tc>
          <w:tcPr>
            <w:tcW w:w="3768" w:type="dxa"/>
            <w:tcBorders>
              <w:top w:val="single" w:sz="4" w:space="0" w:color="auto"/>
              <w:left w:val="single" w:sz="4" w:space="0" w:color="auto"/>
              <w:bottom w:val="single" w:sz="4" w:space="0" w:color="auto"/>
              <w:right w:val="single" w:sz="4" w:space="0" w:color="auto"/>
            </w:tcBorders>
            <w:shd w:val="clear" w:color="auto" w:fill="auto"/>
          </w:tcPr>
          <w:p w14:paraId="1719C96B" w14:textId="77777777" w:rsidR="00516B95" w:rsidRPr="00FC2F3A" w:rsidRDefault="00516B95" w:rsidP="00DD56F9">
            <w:pPr>
              <w:spacing w:after="0" w:line="360" w:lineRule="auto"/>
              <w:contextualSpacing/>
              <w:jc w:val="both"/>
              <w:rPr>
                <w:rFonts w:eastAsia="Calibri" w:cs="Times New Roman"/>
                <w:kern w:val="0"/>
                <w:sz w:val="22"/>
                <w14:ligatures w14:val="none"/>
              </w:rPr>
            </w:pPr>
            <w:r w:rsidRPr="00FC2F3A">
              <w:rPr>
                <w:rFonts w:eastAsia="Calibri" w:cs="Times New Roman"/>
                <w:kern w:val="0"/>
                <w:sz w:val="22"/>
                <w14:ligatures w14:val="none"/>
              </w:rPr>
              <w:t>2023</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5350C58B" w14:textId="7FCA66EB" w:rsidR="00516B95" w:rsidRPr="00FC2F3A" w:rsidRDefault="00ED28D7" w:rsidP="00DD56F9">
            <w:pPr>
              <w:spacing w:after="0" w:line="360" w:lineRule="auto"/>
              <w:contextualSpacing/>
              <w:jc w:val="both"/>
              <w:rPr>
                <w:rFonts w:eastAsia="Calibri" w:cs="Times New Roman"/>
                <w:kern w:val="0"/>
                <w:sz w:val="22"/>
                <w14:ligatures w14:val="none"/>
              </w:rPr>
            </w:pPr>
            <w:r>
              <w:rPr>
                <w:rFonts w:eastAsia="Calibri" w:cs="Times New Roman"/>
                <w:kern w:val="0"/>
                <w:sz w:val="22"/>
                <w14:ligatures w14:val="none"/>
              </w:rPr>
              <w:t>401</w:t>
            </w:r>
          </w:p>
        </w:tc>
        <w:tc>
          <w:tcPr>
            <w:tcW w:w="3043" w:type="dxa"/>
            <w:tcBorders>
              <w:top w:val="single" w:sz="4" w:space="0" w:color="auto"/>
              <w:left w:val="single" w:sz="4" w:space="0" w:color="auto"/>
              <w:bottom w:val="single" w:sz="4" w:space="0" w:color="auto"/>
              <w:right w:val="single" w:sz="4" w:space="0" w:color="auto"/>
            </w:tcBorders>
            <w:shd w:val="clear" w:color="auto" w:fill="auto"/>
          </w:tcPr>
          <w:p w14:paraId="5CB73DC3" w14:textId="77777777" w:rsidR="00516B95" w:rsidRPr="00FC2F3A" w:rsidRDefault="00516B95" w:rsidP="00DD56F9">
            <w:pPr>
              <w:spacing w:after="0" w:line="360" w:lineRule="auto"/>
              <w:contextualSpacing/>
              <w:jc w:val="both"/>
              <w:rPr>
                <w:rFonts w:eastAsia="Calibri" w:cs="Times New Roman"/>
                <w:kern w:val="0"/>
                <w:sz w:val="22"/>
                <w14:ligatures w14:val="none"/>
              </w:rPr>
            </w:pPr>
            <w:r w:rsidRPr="00FC2F3A">
              <w:rPr>
                <w:rFonts w:eastAsia="Calibri" w:cs="Times New Roman"/>
                <w:kern w:val="0"/>
                <w:sz w:val="22"/>
                <w14:ligatures w14:val="none"/>
              </w:rPr>
              <w:t>25,2</w:t>
            </w:r>
          </w:p>
        </w:tc>
      </w:tr>
    </w:tbl>
    <w:p w14:paraId="4EDB15B1" w14:textId="77777777" w:rsidR="00516B95" w:rsidRPr="004771CA" w:rsidRDefault="00516B95" w:rsidP="00DD56F9">
      <w:pPr>
        <w:tabs>
          <w:tab w:val="left" w:pos="600"/>
          <w:tab w:val="left" w:pos="900"/>
        </w:tabs>
        <w:spacing w:after="0" w:line="360" w:lineRule="auto"/>
        <w:jc w:val="both"/>
        <w:outlineLvl w:val="0"/>
        <w:rPr>
          <w:rFonts w:eastAsia="Times New Roman" w:cs="Times New Roman"/>
          <w:b/>
          <w:kern w:val="0"/>
          <w:szCs w:val="24"/>
          <w:lang w:eastAsia="lt-LT"/>
          <w14:ligatures w14:val="none"/>
        </w:rPr>
      </w:pPr>
      <w:r w:rsidRPr="004771CA">
        <w:rPr>
          <w:rFonts w:eastAsia="Times New Roman" w:cs="Times New Roman"/>
          <w:b/>
          <w:kern w:val="0"/>
          <w:szCs w:val="24"/>
          <w:lang w:eastAsia="lt-LT"/>
          <w14:ligatures w14:val="none"/>
        </w:rPr>
        <w:tab/>
      </w:r>
    </w:p>
    <w:p w14:paraId="45DC1406" w14:textId="77777777" w:rsidR="00516B95" w:rsidRPr="004771CA" w:rsidRDefault="00516B95" w:rsidP="00DD56F9">
      <w:pPr>
        <w:spacing w:after="0" w:line="276" w:lineRule="auto"/>
        <w:jc w:val="both"/>
        <w:rPr>
          <w:rFonts w:eastAsia="Times New Roman" w:cs="Times New Roman"/>
          <w:b/>
          <w:bCs/>
          <w:kern w:val="0"/>
          <w:szCs w:val="24"/>
          <w:lang w:eastAsia="lt-LT"/>
          <w14:ligatures w14:val="none"/>
        </w:rPr>
      </w:pPr>
      <w:r w:rsidRPr="004771CA">
        <w:rPr>
          <w:rFonts w:eastAsia="Times New Roman" w:cs="Times New Roman"/>
          <w:b/>
          <w:bCs/>
          <w:kern w:val="0"/>
          <w:szCs w:val="24"/>
          <w:lang w:eastAsia="lt-LT"/>
          <w14:ligatures w14:val="none"/>
        </w:rPr>
        <w:t>Bendrosiose klasėse besimokančių mokinių, turinčių specialiųjų ugdymosi poreikių, skaičius pagal lygius</w:t>
      </w:r>
    </w:p>
    <w:p w14:paraId="26F8F329" w14:textId="77777777" w:rsidR="00516B95" w:rsidRPr="004771CA" w:rsidRDefault="00516B95" w:rsidP="00DD56F9">
      <w:pPr>
        <w:spacing w:after="0" w:line="276" w:lineRule="auto"/>
        <w:ind w:left="5184"/>
        <w:jc w:val="both"/>
        <w:rPr>
          <w:rFonts w:eastAsia="Times New Roman" w:cs="Times New Roman"/>
          <w:kern w:val="0"/>
          <w:sz w:val="20"/>
          <w:szCs w:val="20"/>
          <w:lang w:eastAsia="lt-LT"/>
          <w14:ligatures w14:val="none"/>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2093"/>
        <w:gridCol w:w="2093"/>
        <w:gridCol w:w="2093"/>
      </w:tblGrid>
      <w:tr w:rsidR="00516B95" w:rsidRPr="004771CA" w14:paraId="2F606B8E" w14:textId="77777777" w:rsidTr="00381AA7">
        <w:trPr>
          <w:trHeight w:val="645"/>
        </w:trPr>
        <w:tc>
          <w:tcPr>
            <w:tcW w:w="3471" w:type="dxa"/>
            <w:shd w:val="clear" w:color="auto" w:fill="auto"/>
          </w:tcPr>
          <w:p w14:paraId="37954296" w14:textId="25D04DD8"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Specialiųjų ugdymosi poreikių lygiai</w:t>
            </w:r>
          </w:p>
        </w:tc>
        <w:tc>
          <w:tcPr>
            <w:tcW w:w="2093" w:type="dxa"/>
          </w:tcPr>
          <w:p w14:paraId="74285466"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Calibri" w:cs="Times New Roman"/>
                <w:kern w:val="0"/>
                <w:szCs w:val="24"/>
                <w:lang w:eastAsia="lt-LT"/>
                <w14:ligatures w14:val="none"/>
              </w:rPr>
              <w:t>2021-2022 m. m.</w:t>
            </w:r>
          </w:p>
        </w:tc>
        <w:tc>
          <w:tcPr>
            <w:tcW w:w="2093" w:type="dxa"/>
          </w:tcPr>
          <w:p w14:paraId="4A3ABA13"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2022-2023 m. m.</w:t>
            </w:r>
          </w:p>
        </w:tc>
        <w:tc>
          <w:tcPr>
            <w:tcW w:w="2093" w:type="dxa"/>
            <w:shd w:val="clear" w:color="auto" w:fill="auto"/>
          </w:tcPr>
          <w:p w14:paraId="4A014FD5"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Pr>
                <w:rFonts w:eastAsia="Times New Roman" w:cs="Times New Roman"/>
                <w:kern w:val="0"/>
                <w:szCs w:val="24"/>
                <w:lang w:eastAsia="lt-LT"/>
                <w14:ligatures w14:val="none"/>
              </w:rPr>
              <w:t>2023-2024 m. m.</w:t>
            </w:r>
          </w:p>
        </w:tc>
      </w:tr>
      <w:tr w:rsidR="00516B95" w:rsidRPr="004771CA" w14:paraId="348235A9" w14:textId="77777777" w:rsidTr="00381AA7">
        <w:tc>
          <w:tcPr>
            <w:tcW w:w="3471" w:type="dxa"/>
            <w:shd w:val="clear" w:color="auto" w:fill="auto"/>
          </w:tcPr>
          <w:p w14:paraId="210B03E0" w14:textId="434720D3"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I - nedideli</w:t>
            </w:r>
          </w:p>
        </w:tc>
        <w:tc>
          <w:tcPr>
            <w:tcW w:w="2093" w:type="dxa"/>
          </w:tcPr>
          <w:p w14:paraId="3EA06152"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78</w:t>
            </w:r>
          </w:p>
        </w:tc>
        <w:tc>
          <w:tcPr>
            <w:tcW w:w="2093" w:type="dxa"/>
          </w:tcPr>
          <w:p w14:paraId="29C2626E"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76</w:t>
            </w:r>
          </w:p>
        </w:tc>
        <w:tc>
          <w:tcPr>
            <w:tcW w:w="2093" w:type="dxa"/>
            <w:tcBorders>
              <w:top w:val="nil"/>
              <w:left w:val="nil"/>
              <w:bottom w:val="single" w:sz="8" w:space="0" w:color="auto"/>
              <w:right w:val="single" w:sz="8" w:space="0" w:color="auto"/>
            </w:tcBorders>
          </w:tcPr>
          <w:p w14:paraId="2146CF0F" w14:textId="1AC311D3" w:rsidR="00516B95" w:rsidRPr="0082037F" w:rsidRDefault="00516B95" w:rsidP="00DD56F9">
            <w:pPr>
              <w:spacing w:after="0" w:line="276" w:lineRule="auto"/>
              <w:jc w:val="both"/>
              <w:rPr>
                <w:rFonts w:eastAsia="Times New Roman" w:cs="Times New Roman"/>
                <w:kern w:val="0"/>
                <w:szCs w:val="24"/>
                <w:lang w:eastAsia="lt-LT"/>
                <w14:ligatures w14:val="none"/>
              </w:rPr>
            </w:pPr>
            <w:r w:rsidRPr="0082037F">
              <w:t>84</w:t>
            </w:r>
          </w:p>
        </w:tc>
      </w:tr>
      <w:tr w:rsidR="00516B95" w:rsidRPr="004771CA" w14:paraId="691E1C16" w14:textId="77777777" w:rsidTr="00381AA7">
        <w:tc>
          <w:tcPr>
            <w:tcW w:w="3471" w:type="dxa"/>
            <w:shd w:val="clear" w:color="auto" w:fill="auto"/>
          </w:tcPr>
          <w:p w14:paraId="02516B9D"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II - vidutiniai</w:t>
            </w:r>
          </w:p>
        </w:tc>
        <w:tc>
          <w:tcPr>
            <w:tcW w:w="2093" w:type="dxa"/>
          </w:tcPr>
          <w:p w14:paraId="089A2A00"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219</w:t>
            </w:r>
          </w:p>
        </w:tc>
        <w:tc>
          <w:tcPr>
            <w:tcW w:w="2093" w:type="dxa"/>
          </w:tcPr>
          <w:p w14:paraId="1D49EBD1"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211</w:t>
            </w:r>
          </w:p>
        </w:tc>
        <w:tc>
          <w:tcPr>
            <w:tcW w:w="2093" w:type="dxa"/>
            <w:tcBorders>
              <w:top w:val="nil"/>
              <w:left w:val="nil"/>
              <w:bottom w:val="single" w:sz="8" w:space="0" w:color="auto"/>
              <w:right w:val="single" w:sz="8" w:space="0" w:color="auto"/>
            </w:tcBorders>
          </w:tcPr>
          <w:p w14:paraId="37E862AB" w14:textId="488F96F5" w:rsidR="00516B95" w:rsidRPr="0082037F" w:rsidRDefault="00516B95" w:rsidP="00DD56F9">
            <w:pPr>
              <w:spacing w:after="0" w:line="276" w:lineRule="auto"/>
              <w:jc w:val="both"/>
              <w:rPr>
                <w:rFonts w:eastAsia="Times New Roman" w:cs="Times New Roman"/>
                <w:kern w:val="0"/>
                <w:szCs w:val="24"/>
                <w:lang w:eastAsia="lt-LT"/>
                <w14:ligatures w14:val="none"/>
              </w:rPr>
            </w:pPr>
            <w:r w:rsidRPr="0082037F">
              <w:t>234</w:t>
            </w:r>
          </w:p>
        </w:tc>
      </w:tr>
      <w:tr w:rsidR="00516B95" w:rsidRPr="004771CA" w14:paraId="78181E69" w14:textId="77777777" w:rsidTr="00381AA7">
        <w:tc>
          <w:tcPr>
            <w:tcW w:w="3471" w:type="dxa"/>
            <w:shd w:val="clear" w:color="auto" w:fill="auto"/>
          </w:tcPr>
          <w:p w14:paraId="432877F8"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III - dideli</w:t>
            </w:r>
          </w:p>
        </w:tc>
        <w:tc>
          <w:tcPr>
            <w:tcW w:w="2093" w:type="dxa"/>
          </w:tcPr>
          <w:p w14:paraId="028F483A"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29</w:t>
            </w:r>
          </w:p>
        </w:tc>
        <w:tc>
          <w:tcPr>
            <w:tcW w:w="2093" w:type="dxa"/>
          </w:tcPr>
          <w:p w14:paraId="4DD29876"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33</w:t>
            </w:r>
          </w:p>
        </w:tc>
        <w:tc>
          <w:tcPr>
            <w:tcW w:w="2093" w:type="dxa"/>
            <w:tcBorders>
              <w:top w:val="nil"/>
              <w:left w:val="nil"/>
              <w:bottom w:val="single" w:sz="8" w:space="0" w:color="auto"/>
              <w:right w:val="single" w:sz="8" w:space="0" w:color="auto"/>
            </w:tcBorders>
          </w:tcPr>
          <w:p w14:paraId="232FB3F9" w14:textId="479EFD89" w:rsidR="00516B95" w:rsidRPr="0082037F" w:rsidRDefault="00516B95" w:rsidP="00DD56F9">
            <w:pPr>
              <w:spacing w:after="0" w:line="276" w:lineRule="auto"/>
              <w:jc w:val="both"/>
              <w:rPr>
                <w:rFonts w:eastAsia="Times New Roman" w:cs="Times New Roman"/>
                <w:kern w:val="0"/>
                <w:szCs w:val="24"/>
                <w:lang w:eastAsia="lt-LT"/>
                <w14:ligatures w14:val="none"/>
              </w:rPr>
            </w:pPr>
            <w:r w:rsidRPr="0082037F">
              <w:t>57</w:t>
            </w:r>
          </w:p>
        </w:tc>
      </w:tr>
      <w:tr w:rsidR="00516B95" w:rsidRPr="004771CA" w14:paraId="5F8C2C58" w14:textId="77777777" w:rsidTr="00381AA7">
        <w:tc>
          <w:tcPr>
            <w:tcW w:w="3471" w:type="dxa"/>
            <w:shd w:val="clear" w:color="auto" w:fill="auto"/>
          </w:tcPr>
          <w:p w14:paraId="5053A2DF"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IV – labai dideli</w:t>
            </w:r>
          </w:p>
        </w:tc>
        <w:tc>
          <w:tcPr>
            <w:tcW w:w="2093" w:type="dxa"/>
          </w:tcPr>
          <w:p w14:paraId="339C2140"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1</w:t>
            </w:r>
          </w:p>
        </w:tc>
        <w:tc>
          <w:tcPr>
            <w:tcW w:w="2093" w:type="dxa"/>
          </w:tcPr>
          <w:p w14:paraId="07B45EBC" w14:textId="77777777" w:rsidR="00516B95" w:rsidRPr="004771CA" w:rsidRDefault="00516B95" w:rsidP="00DD56F9">
            <w:pPr>
              <w:spacing w:after="0" w:line="276"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2</w:t>
            </w:r>
          </w:p>
        </w:tc>
        <w:tc>
          <w:tcPr>
            <w:tcW w:w="2093" w:type="dxa"/>
            <w:tcBorders>
              <w:top w:val="nil"/>
              <w:left w:val="nil"/>
              <w:bottom w:val="single" w:sz="8" w:space="0" w:color="auto"/>
              <w:right w:val="single" w:sz="8" w:space="0" w:color="auto"/>
            </w:tcBorders>
          </w:tcPr>
          <w:p w14:paraId="2DA2F48A" w14:textId="39714404" w:rsidR="00516B95" w:rsidRPr="0082037F" w:rsidRDefault="00516B95" w:rsidP="00DD56F9">
            <w:pPr>
              <w:spacing w:after="0" w:line="276" w:lineRule="auto"/>
              <w:jc w:val="both"/>
              <w:rPr>
                <w:rFonts w:eastAsia="Times New Roman" w:cs="Times New Roman"/>
                <w:kern w:val="0"/>
                <w:szCs w:val="24"/>
                <w:lang w:eastAsia="lt-LT"/>
                <w14:ligatures w14:val="none"/>
              </w:rPr>
            </w:pPr>
            <w:r w:rsidRPr="0082037F">
              <w:t>5</w:t>
            </w:r>
          </w:p>
        </w:tc>
      </w:tr>
    </w:tbl>
    <w:p w14:paraId="1F8E207C" w14:textId="77777777" w:rsidR="00516B95" w:rsidRPr="004771CA" w:rsidRDefault="00516B95" w:rsidP="00DD56F9">
      <w:pPr>
        <w:tabs>
          <w:tab w:val="left" w:pos="600"/>
          <w:tab w:val="left" w:pos="900"/>
        </w:tabs>
        <w:spacing w:after="0" w:line="360" w:lineRule="auto"/>
        <w:jc w:val="both"/>
        <w:outlineLvl w:val="0"/>
        <w:rPr>
          <w:rFonts w:eastAsia="Times New Roman" w:cs="Times New Roman"/>
          <w:b/>
          <w:kern w:val="0"/>
          <w:szCs w:val="24"/>
          <w:lang w:eastAsia="lt-LT"/>
          <w14:ligatures w14:val="none"/>
        </w:rPr>
      </w:pPr>
    </w:p>
    <w:p w14:paraId="2A80F9D5" w14:textId="77777777" w:rsidR="00516B95" w:rsidRPr="004771CA" w:rsidRDefault="00516B95" w:rsidP="00DD56F9">
      <w:pPr>
        <w:tabs>
          <w:tab w:val="left" w:pos="600"/>
          <w:tab w:val="left" w:pos="900"/>
        </w:tabs>
        <w:spacing w:after="0" w:line="360" w:lineRule="auto"/>
        <w:jc w:val="both"/>
        <w:outlineLvl w:val="0"/>
        <w:rPr>
          <w:rFonts w:eastAsia="Times New Roman" w:cs="Times New Roman"/>
          <w:kern w:val="0"/>
          <w:szCs w:val="24"/>
          <w:lang w:eastAsia="lt-LT"/>
          <w14:ligatures w14:val="none"/>
        </w:rPr>
      </w:pPr>
      <w:r w:rsidRPr="004771CA">
        <w:rPr>
          <w:rFonts w:eastAsia="Times New Roman" w:cs="Times New Roman"/>
          <w:b/>
          <w:kern w:val="0"/>
          <w:szCs w:val="24"/>
          <w:lang w:eastAsia="lt-LT"/>
          <w14:ligatures w14:val="none"/>
        </w:rPr>
        <w:t xml:space="preserve">       </w:t>
      </w:r>
      <w:r w:rsidRPr="004771CA">
        <w:rPr>
          <w:rFonts w:eastAsia="Times New Roman" w:cs="Times New Roman"/>
          <w:kern w:val="0"/>
          <w:szCs w:val="24"/>
          <w:lang w:eastAsia="lt-LT"/>
          <w14:ligatures w14:val="none"/>
        </w:rPr>
        <w:t>Specialiosios pedagoginės  - psichologinės pagalbos teikimas, didinant specialiųjų ugdymosi poreikių, psichologinių, asmenybės ir ugdymosi problemų turinčių asmenų  ugdymosi veiksmingumą, padedant jiems įveikti socialinę atskirtį, gebėjimą gyventi ir mokytis buvo teikiama   Molėtų švietimo pagalbos tarnybos ir ugdymo įstaigose dirbančių švietimo pagalbos specialistų.</w:t>
      </w:r>
    </w:p>
    <w:p w14:paraId="30FD307A" w14:textId="395C64D3" w:rsidR="00516B95" w:rsidRPr="004771CA" w:rsidRDefault="00516B95" w:rsidP="00DD56F9">
      <w:pPr>
        <w:widowControl w:val="0"/>
        <w:shd w:val="clear" w:color="auto" w:fill="FFFFFF"/>
        <w:spacing w:after="0" w:line="360"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 xml:space="preserve">     Mokyklose dirbantys švietimo pagalbos specialistai nepajėgia teikti švietimo pagalbos visiems mokiniams, kuriems </w:t>
      </w:r>
      <w:r>
        <w:rPr>
          <w:rFonts w:eastAsia="Times New Roman" w:cs="Times New Roman"/>
          <w:kern w:val="0"/>
          <w:szCs w:val="24"/>
          <w:lang w:eastAsia="lt-LT"/>
          <w14:ligatures w14:val="none"/>
        </w:rPr>
        <w:t>to</w:t>
      </w:r>
      <w:r w:rsidRPr="004771CA">
        <w:rPr>
          <w:rFonts w:eastAsia="Times New Roman" w:cs="Times New Roman"/>
          <w:kern w:val="0"/>
          <w:szCs w:val="24"/>
          <w:lang w:eastAsia="lt-LT"/>
          <w14:ligatures w14:val="none"/>
        </w:rPr>
        <w:t xml:space="preserve"> reikia. </w:t>
      </w:r>
      <w:r w:rsidRPr="0082037F">
        <w:rPr>
          <w:rFonts w:eastAsia="Times New Roman" w:cs="Times New Roman"/>
          <w:kern w:val="0"/>
          <w:szCs w:val="24"/>
          <w:lang w:eastAsia="lt-LT"/>
          <w14:ligatures w14:val="none"/>
        </w:rPr>
        <w:t>Vykdant projektą „Koordinuotai mokiniams teikiamų švietimo pagalbos, socialinių ir sveikatos priežiūros paslaugų modelio diegimas Molėtų rajone“,</w:t>
      </w:r>
      <w:r w:rsidR="0082037F" w:rsidRPr="0082037F">
        <w:rPr>
          <w:rFonts w:eastAsia="Times New Roman" w:cs="Times New Roman"/>
          <w:kern w:val="0"/>
          <w:szCs w:val="24"/>
          <w:lang w:eastAsia="lt-LT"/>
          <w14:ligatures w14:val="none"/>
        </w:rPr>
        <w:t xml:space="preserve"> buvo</w:t>
      </w:r>
      <w:r w:rsidRPr="0082037F">
        <w:rPr>
          <w:rFonts w:eastAsia="Times New Roman" w:cs="Times New Roman"/>
          <w:kern w:val="0"/>
          <w:szCs w:val="24"/>
          <w:lang w:eastAsia="lt-LT"/>
          <w14:ligatures w14:val="none"/>
        </w:rPr>
        <w:t xml:space="preserve"> įdarbinta 10 švietimo pagalbos specialistų, </w:t>
      </w:r>
      <w:r w:rsidR="0082037F" w:rsidRPr="0082037F">
        <w:rPr>
          <w:rFonts w:eastAsia="Times New Roman" w:cs="Times New Roman"/>
          <w:kern w:val="0"/>
          <w:szCs w:val="24"/>
          <w:lang w:eastAsia="lt-LT"/>
          <w14:ligatures w14:val="none"/>
        </w:rPr>
        <w:t>tačiau</w:t>
      </w:r>
      <w:r w:rsidR="0082037F">
        <w:rPr>
          <w:rFonts w:eastAsia="Times New Roman" w:cs="Times New Roman"/>
          <w:kern w:val="0"/>
          <w:szCs w:val="24"/>
          <w:lang w:eastAsia="lt-LT"/>
          <w14:ligatures w14:val="none"/>
        </w:rPr>
        <w:t xml:space="preserve"> 2023 m. rudenį projektas baigėsi ir iškilo būtinybė išlaikyti teikiamų paslaugų skaičių jau Savivaldybės lėšomis.</w:t>
      </w:r>
    </w:p>
    <w:p w14:paraId="7C3998D3" w14:textId="77777777" w:rsidR="00516B95" w:rsidRPr="004771CA" w:rsidRDefault="00516B95" w:rsidP="00DD56F9">
      <w:pPr>
        <w:widowControl w:val="0"/>
        <w:shd w:val="clear" w:color="auto" w:fill="FFFFFF"/>
        <w:spacing w:after="0" w:line="240" w:lineRule="auto"/>
        <w:jc w:val="both"/>
        <w:rPr>
          <w:rFonts w:eastAsia="Times New Roman" w:cs="Times New Roman"/>
          <w:b/>
          <w:bCs/>
          <w:kern w:val="0"/>
          <w:szCs w:val="24"/>
          <w:lang w:eastAsia="lt-LT"/>
          <w14:ligatures w14:val="none"/>
        </w:rPr>
      </w:pPr>
      <w:r w:rsidRPr="004771CA">
        <w:rPr>
          <w:rFonts w:eastAsia="Times New Roman" w:cs="Times New Roman"/>
          <w:kern w:val="0"/>
          <w:szCs w:val="24"/>
          <w:lang w:eastAsia="lt-LT"/>
          <w14:ligatures w14:val="none"/>
        </w:rPr>
        <w:t xml:space="preserve"> </w:t>
      </w:r>
      <w:r w:rsidRPr="004771CA">
        <w:rPr>
          <w:rFonts w:eastAsia="Times New Roman" w:cs="Times New Roman"/>
          <w:b/>
          <w:bCs/>
          <w:kern w:val="0"/>
          <w:szCs w:val="24"/>
          <w:lang w:eastAsia="lt-LT"/>
          <w14:ligatures w14:val="none"/>
        </w:rPr>
        <w:t>Švietimo pagalbos teikimas ugdymo įstaigose</w:t>
      </w:r>
    </w:p>
    <w:p w14:paraId="48A8D50E" w14:textId="77777777" w:rsidR="00516B95" w:rsidRPr="004771CA" w:rsidRDefault="00516B95" w:rsidP="00DD56F9">
      <w:pPr>
        <w:widowControl w:val="0"/>
        <w:shd w:val="clear" w:color="auto" w:fill="FFFFFF"/>
        <w:spacing w:after="0" w:line="240" w:lineRule="auto"/>
        <w:jc w:val="both"/>
        <w:rPr>
          <w:rFonts w:eastAsia="Times New Roman" w:cs="Times New Roman"/>
          <w:kern w:val="0"/>
          <w:sz w:val="22"/>
          <w:lang w:eastAsia="lt-LT"/>
          <w14:ligatures w14:val="none"/>
        </w:rPr>
      </w:pPr>
      <w:r w:rsidRPr="004771CA">
        <w:rPr>
          <w:rFonts w:eastAsia="Times New Roman" w:cs="Times New Roman"/>
          <w:kern w:val="0"/>
          <w:sz w:val="22"/>
          <w:lang w:eastAsia="lt-LT"/>
          <w14:ligatures w14:val="none"/>
        </w:rPr>
        <w:t xml:space="preserve"> </w:t>
      </w:r>
      <w:r w:rsidRPr="004771CA">
        <w:rPr>
          <w:rFonts w:eastAsia="Times New Roman" w:cs="Times New Roman"/>
          <w:kern w:val="0"/>
          <w:sz w:val="22"/>
          <w:lang w:eastAsia="lt-LT"/>
          <w14:ligatures w14:val="none"/>
        </w:rPr>
        <w:tab/>
      </w:r>
      <w:r w:rsidRPr="004771CA">
        <w:rPr>
          <w:rFonts w:eastAsia="Times New Roman" w:cs="Times New Roman"/>
          <w:kern w:val="0"/>
          <w:sz w:val="22"/>
          <w:lang w:eastAsia="lt-LT"/>
          <w14:ligatures w14:val="none"/>
        </w:rPr>
        <w:tab/>
      </w:r>
      <w:r w:rsidRPr="004771CA">
        <w:rPr>
          <w:rFonts w:eastAsia="Times New Roman" w:cs="Times New Roman"/>
          <w:kern w:val="0"/>
          <w:sz w:val="22"/>
          <w:lang w:eastAsia="lt-LT"/>
          <w14:ligatures w14:val="none"/>
        </w:rPr>
        <w:tab/>
      </w:r>
      <w:r w:rsidRPr="004771CA">
        <w:rPr>
          <w:rFonts w:eastAsia="Times New Roman" w:cs="Times New Roman"/>
          <w:kern w:val="0"/>
          <w:sz w:val="22"/>
          <w:lang w:eastAsia="lt-LT"/>
          <w14:ligatures w14:val="none"/>
        </w:rPr>
        <w:tab/>
        <w:t xml:space="preserve">                   </w:t>
      </w:r>
    </w:p>
    <w:tbl>
      <w:tblPr>
        <w:tblStyle w:val="Lentelstinklelis"/>
        <w:tblW w:w="0" w:type="auto"/>
        <w:tblLook w:val="04A0" w:firstRow="1" w:lastRow="0" w:firstColumn="1" w:lastColumn="0" w:noHBand="0" w:noVBand="1"/>
      </w:tblPr>
      <w:tblGrid>
        <w:gridCol w:w="3202"/>
        <w:gridCol w:w="3213"/>
        <w:gridCol w:w="3213"/>
      </w:tblGrid>
      <w:tr w:rsidR="00516B95" w:rsidRPr="004771CA" w14:paraId="15B5F3D7" w14:textId="77777777" w:rsidTr="00381AA7">
        <w:tc>
          <w:tcPr>
            <w:tcW w:w="3284" w:type="dxa"/>
          </w:tcPr>
          <w:p w14:paraId="1002646A" w14:textId="77777777" w:rsidR="00516B95" w:rsidRPr="004771CA" w:rsidRDefault="00516B95" w:rsidP="00DD56F9">
            <w:pPr>
              <w:tabs>
                <w:tab w:val="left" w:pos="600"/>
                <w:tab w:val="left" w:pos="900"/>
              </w:tabs>
              <w:spacing w:line="360" w:lineRule="auto"/>
              <w:jc w:val="both"/>
              <w:outlineLvl w:val="0"/>
              <w:rPr>
                <w:szCs w:val="24"/>
                <w14:ligatures w14:val="none"/>
              </w:rPr>
            </w:pPr>
            <w:r w:rsidRPr="004771CA">
              <w:rPr>
                <w:szCs w:val="24"/>
                <w14:ligatures w14:val="none"/>
              </w:rPr>
              <w:t>Mokslo metai</w:t>
            </w:r>
          </w:p>
        </w:tc>
        <w:tc>
          <w:tcPr>
            <w:tcW w:w="3285" w:type="dxa"/>
          </w:tcPr>
          <w:p w14:paraId="46D2E051" w14:textId="77777777" w:rsidR="00516B95" w:rsidRPr="004771CA" w:rsidRDefault="00516B95" w:rsidP="00DD56F9">
            <w:pPr>
              <w:tabs>
                <w:tab w:val="left" w:pos="600"/>
                <w:tab w:val="left" w:pos="900"/>
              </w:tabs>
              <w:jc w:val="both"/>
              <w:outlineLvl w:val="0"/>
              <w:rPr>
                <w:szCs w:val="24"/>
                <w14:ligatures w14:val="none"/>
              </w:rPr>
            </w:pPr>
            <w:r w:rsidRPr="004771CA">
              <w:rPr>
                <w:szCs w:val="24"/>
                <w14:ligatures w14:val="none"/>
              </w:rPr>
              <w:t>Švietimo pagalbą gaunančių mokinių, kuriems ši pagalba nustatyta, skaičius</w:t>
            </w:r>
          </w:p>
        </w:tc>
        <w:tc>
          <w:tcPr>
            <w:tcW w:w="3285" w:type="dxa"/>
          </w:tcPr>
          <w:p w14:paraId="22F46AE7" w14:textId="77777777" w:rsidR="00516B95" w:rsidRPr="004771CA" w:rsidRDefault="00516B95" w:rsidP="00DD56F9">
            <w:pPr>
              <w:tabs>
                <w:tab w:val="left" w:pos="600"/>
                <w:tab w:val="left" w:pos="900"/>
              </w:tabs>
              <w:jc w:val="both"/>
              <w:outlineLvl w:val="0"/>
              <w:rPr>
                <w:szCs w:val="24"/>
                <w14:ligatures w14:val="none"/>
              </w:rPr>
            </w:pPr>
            <w:r w:rsidRPr="004771CA">
              <w:rPr>
                <w:szCs w:val="24"/>
                <w14:ligatures w14:val="none"/>
              </w:rPr>
              <w:t>Švietimo pagalbą gaunančių mokinių dalis nuo mokinių, kuriems ši pagalba nustatyta</w:t>
            </w:r>
          </w:p>
        </w:tc>
      </w:tr>
      <w:tr w:rsidR="00516B95" w:rsidRPr="004771CA" w14:paraId="4EFFDC51" w14:textId="77777777" w:rsidTr="00381AA7">
        <w:tc>
          <w:tcPr>
            <w:tcW w:w="3284" w:type="dxa"/>
          </w:tcPr>
          <w:p w14:paraId="0058435F" w14:textId="77777777" w:rsidR="00516B95" w:rsidRPr="004771CA" w:rsidRDefault="00516B95" w:rsidP="00DD56F9">
            <w:pPr>
              <w:tabs>
                <w:tab w:val="left" w:pos="600"/>
                <w:tab w:val="left" w:pos="900"/>
              </w:tabs>
              <w:spacing w:line="360" w:lineRule="auto"/>
              <w:jc w:val="both"/>
              <w:outlineLvl w:val="0"/>
              <w:rPr>
                <w:szCs w:val="24"/>
                <w14:ligatures w14:val="none"/>
              </w:rPr>
            </w:pPr>
            <w:r w:rsidRPr="004771CA">
              <w:rPr>
                <w:szCs w:val="24"/>
                <w14:ligatures w14:val="none"/>
              </w:rPr>
              <w:t>2021-2022</w:t>
            </w:r>
          </w:p>
        </w:tc>
        <w:tc>
          <w:tcPr>
            <w:tcW w:w="3285" w:type="dxa"/>
          </w:tcPr>
          <w:p w14:paraId="551D32D5" w14:textId="77777777" w:rsidR="00516B95" w:rsidRPr="004771CA" w:rsidRDefault="00516B95" w:rsidP="00DD56F9">
            <w:pPr>
              <w:tabs>
                <w:tab w:val="left" w:pos="600"/>
                <w:tab w:val="left" w:pos="900"/>
              </w:tabs>
              <w:spacing w:line="360" w:lineRule="auto"/>
              <w:jc w:val="both"/>
              <w:outlineLvl w:val="0"/>
              <w:rPr>
                <w:szCs w:val="24"/>
                <w14:ligatures w14:val="none"/>
              </w:rPr>
            </w:pPr>
            <w:r w:rsidRPr="004771CA">
              <w:rPr>
                <w:szCs w:val="24"/>
                <w14:ligatures w14:val="none"/>
              </w:rPr>
              <w:t>384</w:t>
            </w:r>
          </w:p>
        </w:tc>
        <w:tc>
          <w:tcPr>
            <w:tcW w:w="3285" w:type="dxa"/>
          </w:tcPr>
          <w:p w14:paraId="5C33EC5F" w14:textId="77777777" w:rsidR="00516B95" w:rsidRPr="004771CA" w:rsidRDefault="00516B95" w:rsidP="00DD56F9">
            <w:pPr>
              <w:tabs>
                <w:tab w:val="left" w:pos="600"/>
                <w:tab w:val="left" w:pos="900"/>
              </w:tabs>
              <w:spacing w:line="360" w:lineRule="auto"/>
              <w:jc w:val="both"/>
              <w:outlineLvl w:val="0"/>
              <w:rPr>
                <w:szCs w:val="24"/>
                <w:lang w:val="en-US"/>
                <w14:ligatures w14:val="none"/>
              </w:rPr>
            </w:pPr>
            <w:r w:rsidRPr="004771CA">
              <w:rPr>
                <w:szCs w:val="24"/>
                <w:lang w:val="en-US"/>
                <w14:ligatures w14:val="none"/>
              </w:rPr>
              <w:t>59,6</w:t>
            </w:r>
          </w:p>
        </w:tc>
      </w:tr>
      <w:tr w:rsidR="00516B95" w:rsidRPr="004771CA" w14:paraId="66A12440" w14:textId="77777777" w:rsidTr="00381AA7">
        <w:tc>
          <w:tcPr>
            <w:tcW w:w="3284" w:type="dxa"/>
          </w:tcPr>
          <w:p w14:paraId="48B3E72B" w14:textId="77777777" w:rsidR="00516B95" w:rsidRPr="004771CA" w:rsidRDefault="00516B95" w:rsidP="00DD56F9">
            <w:pPr>
              <w:tabs>
                <w:tab w:val="left" w:pos="600"/>
                <w:tab w:val="left" w:pos="900"/>
              </w:tabs>
              <w:spacing w:line="360" w:lineRule="auto"/>
              <w:jc w:val="both"/>
              <w:outlineLvl w:val="0"/>
              <w:rPr>
                <w:szCs w:val="24"/>
                <w14:ligatures w14:val="none"/>
              </w:rPr>
            </w:pPr>
            <w:r w:rsidRPr="004771CA">
              <w:rPr>
                <w:szCs w:val="24"/>
                <w14:ligatures w14:val="none"/>
              </w:rPr>
              <w:t>2022-2023</w:t>
            </w:r>
          </w:p>
        </w:tc>
        <w:tc>
          <w:tcPr>
            <w:tcW w:w="3285" w:type="dxa"/>
          </w:tcPr>
          <w:p w14:paraId="38B82AFF" w14:textId="77777777" w:rsidR="00516B95" w:rsidRPr="004771CA" w:rsidRDefault="00516B95" w:rsidP="00DD56F9">
            <w:pPr>
              <w:tabs>
                <w:tab w:val="left" w:pos="600"/>
                <w:tab w:val="left" w:pos="900"/>
              </w:tabs>
              <w:spacing w:line="360" w:lineRule="auto"/>
              <w:jc w:val="both"/>
              <w:outlineLvl w:val="0"/>
              <w:rPr>
                <w:szCs w:val="24"/>
                <w14:ligatures w14:val="none"/>
              </w:rPr>
            </w:pPr>
            <w:r w:rsidRPr="004771CA">
              <w:rPr>
                <w:szCs w:val="24"/>
                <w14:ligatures w14:val="none"/>
              </w:rPr>
              <w:t>397</w:t>
            </w:r>
          </w:p>
        </w:tc>
        <w:tc>
          <w:tcPr>
            <w:tcW w:w="3285" w:type="dxa"/>
          </w:tcPr>
          <w:p w14:paraId="0C565254" w14:textId="77777777" w:rsidR="00516B95" w:rsidRPr="004771CA" w:rsidRDefault="00516B95" w:rsidP="00DD56F9">
            <w:pPr>
              <w:tabs>
                <w:tab w:val="left" w:pos="600"/>
                <w:tab w:val="left" w:pos="900"/>
              </w:tabs>
              <w:spacing w:line="360" w:lineRule="auto"/>
              <w:jc w:val="both"/>
              <w:outlineLvl w:val="0"/>
              <w:rPr>
                <w:szCs w:val="24"/>
                <w14:ligatures w14:val="none"/>
              </w:rPr>
            </w:pPr>
            <w:r w:rsidRPr="004771CA">
              <w:rPr>
                <w:szCs w:val="24"/>
                <w14:ligatures w14:val="none"/>
              </w:rPr>
              <w:t>91,3</w:t>
            </w:r>
          </w:p>
        </w:tc>
      </w:tr>
      <w:tr w:rsidR="00516B95" w:rsidRPr="004771CA" w14:paraId="25F76224" w14:textId="77777777" w:rsidTr="00381AA7">
        <w:tc>
          <w:tcPr>
            <w:tcW w:w="3284" w:type="dxa"/>
          </w:tcPr>
          <w:p w14:paraId="4EF88CE2" w14:textId="77777777" w:rsidR="00516B95" w:rsidRPr="004771CA" w:rsidRDefault="00516B95" w:rsidP="00DD56F9">
            <w:pPr>
              <w:tabs>
                <w:tab w:val="left" w:pos="600"/>
                <w:tab w:val="left" w:pos="900"/>
              </w:tabs>
              <w:spacing w:line="360" w:lineRule="auto"/>
              <w:jc w:val="both"/>
              <w:outlineLvl w:val="0"/>
              <w:rPr>
                <w:szCs w:val="24"/>
                <w:highlight w:val="yellow"/>
                <w14:ligatures w14:val="none"/>
              </w:rPr>
            </w:pPr>
            <w:r w:rsidRPr="00051B18">
              <w:rPr>
                <w:szCs w:val="24"/>
                <w14:ligatures w14:val="none"/>
              </w:rPr>
              <w:t>2023-2024</w:t>
            </w:r>
          </w:p>
        </w:tc>
        <w:tc>
          <w:tcPr>
            <w:tcW w:w="3285" w:type="dxa"/>
          </w:tcPr>
          <w:p w14:paraId="30418794" w14:textId="77777777" w:rsidR="00516B95" w:rsidRPr="004771CA" w:rsidRDefault="00516B95" w:rsidP="00DD56F9">
            <w:pPr>
              <w:tabs>
                <w:tab w:val="left" w:pos="600"/>
                <w:tab w:val="left" w:pos="900"/>
              </w:tabs>
              <w:spacing w:line="360" w:lineRule="auto"/>
              <w:jc w:val="both"/>
              <w:outlineLvl w:val="0"/>
              <w:rPr>
                <w:szCs w:val="24"/>
                <w14:ligatures w14:val="none"/>
              </w:rPr>
            </w:pPr>
            <w:r>
              <w:rPr>
                <w:szCs w:val="24"/>
                <w14:ligatures w14:val="none"/>
              </w:rPr>
              <w:t>465</w:t>
            </w:r>
          </w:p>
        </w:tc>
        <w:tc>
          <w:tcPr>
            <w:tcW w:w="3285" w:type="dxa"/>
          </w:tcPr>
          <w:p w14:paraId="5CFB0B8F" w14:textId="77777777" w:rsidR="00516B95" w:rsidRPr="00051B18" w:rsidRDefault="00516B95" w:rsidP="00DD56F9">
            <w:pPr>
              <w:tabs>
                <w:tab w:val="left" w:pos="600"/>
                <w:tab w:val="left" w:pos="900"/>
              </w:tabs>
              <w:spacing w:line="360" w:lineRule="auto"/>
              <w:jc w:val="both"/>
              <w:outlineLvl w:val="0"/>
              <w:rPr>
                <w:szCs w:val="24"/>
                <w:highlight w:val="yellow"/>
                <w14:ligatures w14:val="none"/>
              </w:rPr>
            </w:pPr>
            <w:r w:rsidRPr="008A1FC4">
              <w:rPr>
                <w:szCs w:val="24"/>
                <w14:ligatures w14:val="none"/>
              </w:rPr>
              <w:t>89,3</w:t>
            </w:r>
          </w:p>
        </w:tc>
      </w:tr>
    </w:tbl>
    <w:p w14:paraId="1E7CB5DA" w14:textId="77777777" w:rsidR="00516B95" w:rsidRPr="004771CA" w:rsidRDefault="00516B95" w:rsidP="00DD56F9">
      <w:pPr>
        <w:tabs>
          <w:tab w:val="left" w:pos="600"/>
          <w:tab w:val="left" w:pos="900"/>
        </w:tabs>
        <w:spacing w:after="0" w:line="360" w:lineRule="auto"/>
        <w:jc w:val="both"/>
        <w:outlineLvl w:val="0"/>
        <w:rPr>
          <w:rFonts w:eastAsia="Times New Roman" w:cs="Times New Roman"/>
          <w:kern w:val="0"/>
          <w:szCs w:val="24"/>
          <w:lang w:eastAsia="lt-LT"/>
          <w14:ligatures w14:val="none"/>
        </w:rPr>
      </w:pPr>
    </w:p>
    <w:p w14:paraId="31593D92" w14:textId="77777777" w:rsidR="00516B95" w:rsidRDefault="00516B95" w:rsidP="00DD56F9">
      <w:pPr>
        <w:spacing w:after="185" w:line="360" w:lineRule="auto"/>
        <w:ind w:right="20"/>
        <w:jc w:val="both"/>
        <w:rPr>
          <w:rFonts w:eastAsia="Times New Roman" w:cs="Times New Roman"/>
          <w:b/>
          <w:bCs/>
          <w:kern w:val="0"/>
          <w:szCs w:val="24"/>
          <w:lang w:eastAsia="lt-LT"/>
          <w14:ligatures w14:val="none"/>
        </w:rPr>
      </w:pPr>
    </w:p>
    <w:p w14:paraId="5D4CABE2" w14:textId="77777777" w:rsidR="00F73DAB" w:rsidRDefault="00F73DAB" w:rsidP="00DD56F9">
      <w:pPr>
        <w:spacing w:after="185" w:line="360" w:lineRule="auto"/>
        <w:ind w:right="20"/>
        <w:jc w:val="both"/>
        <w:rPr>
          <w:rFonts w:eastAsia="Times New Roman" w:cs="Times New Roman"/>
          <w:b/>
          <w:bCs/>
          <w:kern w:val="0"/>
          <w:szCs w:val="24"/>
          <w:lang w:eastAsia="lt-LT"/>
          <w14:ligatures w14:val="none"/>
        </w:rPr>
      </w:pPr>
    </w:p>
    <w:p w14:paraId="5BF27FA4" w14:textId="77777777" w:rsidR="00F73DAB" w:rsidRDefault="00F73DAB" w:rsidP="00DD56F9">
      <w:pPr>
        <w:spacing w:after="185" w:line="360" w:lineRule="auto"/>
        <w:ind w:right="20"/>
        <w:jc w:val="both"/>
        <w:rPr>
          <w:rFonts w:eastAsia="Times New Roman" w:cs="Times New Roman"/>
          <w:b/>
          <w:bCs/>
          <w:kern w:val="0"/>
          <w:szCs w:val="24"/>
          <w:lang w:eastAsia="lt-LT"/>
          <w14:ligatures w14:val="none"/>
        </w:rPr>
      </w:pPr>
    </w:p>
    <w:p w14:paraId="479BC78E" w14:textId="77777777" w:rsidR="00516B95" w:rsidRPr="004771CA" w:rsidRDefault="00516B95" w:rsidP="00DD56F9">
      <w:pPr>
        <w:spacing w:after="185" w:line="360" w:lineRule="auto"/>
        <w:ind w:right="20"/>
        <w:jc w:val="both"/>
        <w:rPr>
          <w:rFonts w:eastAsia="Times New Roman" w:cs="Times New Roman"/>
          <w:b/>
          <w:bCs/>
          <w:kern w:val="0"/>
          <w:szCs w:val="24"/>
          <w:lang w:eastAsia="lt-LT"/>
          <w14:ligatures w14:val="none"/>
        </w:rPr>
      </w:pPr>
      <w:r w:rsidRPr="004771CA">
        <w:rPr>
          <w:rFonts w:eastAsia="Times New Roman" w:cs="Times New Roman"/>
          <w:b/>
          <w:bCs/>
          <w:kern w:val="0"/>
          <w:szCs w:val="24"/>
          <w:lang w:eastAsia="lt-LT"/>
          <w14:ligatures w14:val="none"/>
        </w:rPr>
        <w:t>Švietimo pagalbos specialistai ugdymo įstaigose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992"/>
        <w:gridCol w:w="1077"/>
        <w:gridCol w:w="1587"/>
        <w:gridCol w:w="1843"/>
        <w:gridCol w:w="1440"/>
      </w:tblGrid>
      <w:tr w:rsidR="00516B95" w:rsidRPr="004771CA" w14:paraId="06050A5A" w14:textId="77777777" w:rsidTr="00446176">
        <w:tc>
          <w:tcPr>
            <w:tcW w:w="1413" w:type="dxa"/>
            <w:vMerge w:val="restart"/>
            <w:shd w:val="clear" w:color="auto" w:fill="auto"/>
          </w:tcPr>
          <w:p w14:paraId="3E43714C"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Mokslo metai</w:t>
            </w:r>
          </w:p>
        </w:tc>
        <w:tc>
          <w:tcPr>
            <w:tcW w:w="8215" w:type="dxa"/>
            <w:gridSpan w:val="6"/>
            <w:shd w:val="clear" w:color="auto" w:fill="auto"/>
          </w:tcPr>
          <w:p w14:paraId="3C5E3ADD"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Pagalbos specialistai</w:t>
            </w:r>
            <w:r>
              <w:rPr>
                <w:rFonts w:eastAsia="Times New Roman" w:cs="Times New Roman"/>
                <w:color w:val="000000"/>
                <w:kern w:val="0"/>
                <w:szCs w:val="24"/>
                <w:lang w:eastAsia="lt-LT"/>
                <w14:ligatures w14:val="none"/>
              </w:rPr>
              <w:t xml:space="preserve"> (etatai)</w:t>
            </w:r>
          </w:p>
        </w:tc>
      </w:tr>
      <w:tr w:rsidR="00516B95" w:rsidRPr="004771CA" w14:paraId="14411DB5" w14:textId="77777777" w:rsidTr="00446176">
        <w:tc>
          <w:tcPr>
            <w:tcW w:w="1413" w:type="dxa"/>
            <w:vMerge/>
            <w:shd w:val="clear" w:color="auto" w:fill="auto"/>
          </w:tcPr>
          <w:p w14:paraId="0A6ADEEA"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p>
        </w:tc>
        <w:tc>
          <w:tcPr>
            <w:tcW w:w="1276" w:type="dxa"/>
            <w:shd w:val="clear" w:color="auto" w:fill="auto"/>
          </w:tcPr>
          <w:p w14:paraId="40F65DAC"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Specialieji pedagogai</w:t>
            </w:r>
          </w:p>
        </w:tc>
        <w:tc>
          <w:tcPr>
            <w:tcW w:w="992" w:type="dxa"/>
            <w:shd w:val="clear" w:color="auto" w:fill="auto"/>
          </w:tcPr>
          <w:p w14:paraId="46745ED5"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Logopedai</w:t>
            </w:r>
          </w:p>
        </w:tc>
        <w:tc>
          <w:tcPr>
            <w:tcW w:w="1077" w:type="dxa"/>
            <w:shd w:val="clear" w:color="auto" w:fill="auto"/>
          </w:tcPr>
          <w:p w14:paraId="7966F8ED"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Psichologai</w:t>
            </w:r>
          </w:p>
        </w:tc>
        <w:tc>
          <w:tcPr>
            <w:tcW w:w="1587" w:type="dxa"/>
            <w:shd w:val="clear" w:color="auto" w:fill="auto"/>
          </w:tcPr>
          <w:p w14:paraId="7E689D58" w14:textId="77777777" w:rsidR="00516B95" w:rsidRPr="004771CA" w:rsidRDefault="00516B95" w:rsidP="00DD56F9">
            <w:pPr>
              <w:tabs>
                <w:tab w:val="left" w:pos="851"/>
              </w:tabs>
              <w:spacing w:after="0" w:line="240"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Socialiniai pedagogai</w:t>
            </w:r>
          </w:p>
        </w:tc>
        <w:tc>
          <w:tcPr>
            <w:tcW w:w="1843" w:type="dxa"/>
            <w:shd w:val="clear" w:color="auto" w:fill="auto"/>
          </w:tcPr>
          <w:p w14:paraId="0E6945EA" w14:textId="77777777" w:rsidR="00516B95" w:rsidRPr="004771CA" w:rsidRDefault="00516B95" w:rsidP="00DD56F9">
            <w:pPr>
              <w:spacing w:after="0" w:line="240"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Gydomosios kūno kultūros mokytojas /kineziterapeutas</w:t>
            </w:r>
          </w:p>
        </w:tc>
        <w:tc>
          <w:tcPr>
            <w:tcW w:w="1440" w:type="dxa"/>
            <w:shd w:val="clear" w:color="auto" w:fill="auto"/>
          </w:tcPr>
          <w:p w14:paraId="77ABC8BE" w14:textId="77777777" w:rsidR="00516B95" w:rsidRPr="004771CA" w:rsidRDefault="00516B95" w:rsidP="00DD56F9">
            <w:pPr>
              <w:tabs>
                <w:tab w:val="left" w:pos="851"/>
              </w:tabs>
              <w:spacing w:after="0" w:line="240"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Mokytojo padėjėjai</w:t>
            </w:r>
          </w:p>
        </w:tc>
      </w:tr>
      <w:tr w:rsidR="00516B95" w:rsidRPr="004771CA" w14:paraId="3FC920A5" w14:textId="77777777" w:rsidTr="00446176">
        <w:trPr>
          <w:trHeight w:val="270"/>
        </w:trPr>
        <w:tc>
          <w:tcPr>
            <w:tcW w:w="1413" w:type="dxa"/>
            <w:shd w:val="clear" w:color="auto" w:fill="auto"/>
          </w:tcPr>
          <w:p w14:paraId="211D65D3"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2020–2021</w:t>
            </w:r>
          </w:p>
        </w:tc>
        <w:tc>
          <w:tcPr>
            <w:tcW w:w="1276" w:type="dxa"/>
            <w:shd w:val="clear" w:color="auto" w:fill="auto"/>
          </w:tcPr>
          <w:p w14:paraId="7FD8048C" w14:textId="62EFB132"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6,69</w:t>
            </w:r>
          </w:p>
        </w:tc>
        <w:tc>
          <w:tcPr>
            <w:tcW w:w="992" w:type="dxa"/>
            <w:shd w:val="clear" w:color="auto" w:fill="auto"/>
          </w:tcPr>
          <w:p w14:paraId="1D337835"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7,19</w:t>
            </w:r>
          </w:p>
        </w:tc>
        <w:tc>
          <w:tcPr>
            <w:tcW w:w="1077" w:type="dxa"/>
            <w:shd w:val="clear" w:color="auto" w:fill="auto"/>
          </w:tcPr>
          <w:p w14:paraId="5A973AC8"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3,23</w:t>
            </w:r>
          </w:p>
        </w:tc>
        <w:tc>
          <w:tcPr>
            <w:tcW w:w="1587" w:type="dxa"/>
            <w:shd w:val="clear" w:color="auto" w:fill="auto"/>
          </w:tcPr>
          <w:p w14:paraId="76B6E6F7" w14:textId="206DC85F"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3,8</w:t>
            </w:r>
          </w:p>
        </w:tc>
        <w:tc>
          <w:tcPr>
            <w:tcW w:w="1843" w:type="dxa"/>
            <w:shd w:val="clear" w:color="auto" w:fill="auto"/>
          </w:tcPr>
          <w:p w14:paraId="61C7898A"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0,33</w:t>
            </w:r>
          </w:p>
        </w:tc>
        <w:tc>
          <w:tcPr>
            <w:tcW w:w="1440" w:type="dxa"/>
            <w:shd w:val="clear" w:color="auto" w:fill="auto"/>
          </w:tcPr>
          <w:p w14:paraId="3EF45E0E" w14:textId="2EACABFF"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22,41</w:t>
            </w:r>
          </w:p>
        </w:tc>
      </w:tr>
      <w:tr w:rsidR="00516B95" w:rsidRPr="004771CA" w14:paraId="69F1B605" w14:textId="77777777" w:rsidTr="00446176">
        <w:tc>
          <w:tcPr>
            <w:tcW w:w="1413" w:type="dxa"/>
            <w:shd w:val="clear" w:color="auto" w:fill="auto"/>
          </w:tcPr>
          <w:p w14:paraId="21F62073"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2021–2022</w:t>
            </w:r>
          </w:p>
        </w:tc>
        <w:tc>
          <w:tcPr>
            <w:tcW w:w="1276" w:type="dxa"/>
            <w:shd w:val="clear" w:color="auto" w:fill="auto"/>
          </w:tcPr>
          <w:p w14:paraId="7A47B2B1" w14:textId="314F140E"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6,69</w:t>
            </w:r>
          </w:p>
        </w:tc>
        <w:tc>
          <w:tcPr>
            <w:tcW w:w="992" w:type="dxa"/>
            <w:shd w:val="clear" w:color="auto" w:fill="auto"/>
          </w:tcPr>
          <w:p w14:paraId="2B9F251E"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6,66</w:t>
            </w:r>
          </w:p>
        </w:tc>
        <w:tc>
          <w:tcPr>
            <w:tcW w:w="1077" w:type="dxa"/>
            <w:shd w:val="clear" w:color="auto" w:fill="auto"/>
          </w:tcPr>
          <w:p w14:paraId="135FAA45"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2,95</w:t>
            </w:r>
          </w:p>
        </w:tc>
        <w:tc>
          <w:tcPr>
            <w:tcW w:w="1587" w:type="dxa"/>
            <w:shd w:val="clear" w:color="auto" w:fill="auto"/>
          </w:tcPr>
          <w:p w14:paraId="5813DFA6" w14:textId="41C11C53"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3,8</w:t>
            </w:r>
          </w:p>
        </w:tc>
        <w:tc>
          <w:tcPr>
            <w:tcW w:w="1843" w:type="dxa"/>
            <w:shd w:val="clear" w:color="auto" w:fill="auto"/>
          </w:tcPr>
          <w:p w14:paraId="0D77C131"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0,42</w:t>
            </w:r>
          </w:p>
        </w:tc>
        <w:tc>
          <w:tcPr>
            <w:tcW w:w="1440" w:type="dxa"/>
            <w:shd w:val="clear" w:color="auto" w:fill="auto"/>
          </w:tcPr>
          <w:p w14:paraId="463B3F21" w14:textId="286881AF"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24,91</w:t>
            </w:r>
          </w:p>
        </w:tc>
      </w:tr>
      <w:tr w:rsidR="00516B95" w:rsidRPr="004771CA" w14:paraId="47C37124" w14:textId="77777777" w:rsidTr="00446176">
        <w:tc>
          <w:tcPr>
            <w:tcW w:w="1413" w:type="dxa"/>
            <w:shd w:val="clear" w:color="auto" w:fill="auto"/>
          </w:tcPr>
          <w:p w14:paraId="78E0C045"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val="en-US" w:eastAsia="lt-LT"/>
                <w14:ligatures w14:val="none"/>
              </w:rPr>
            </w:pPr>
            <w:r w:rsidRPr="004771CA">
              <w:rPr>
                <w:rFonts w:eastAsia="Times New Roman" w:cs="Times New Roman"/>
                <w:color w:val="000000"/>
                <w:kern w:val="0"/>
                <w:szCs w:val="24"/>
                <w:lang w:val="en-US" w:eastAsia="lt-LT"/>
                <w14:ligatures w14:val="none"/>
              </w:rPr>
              <w:t>2022-2023</w:t>
            </w:r>
          </w:p>
        </w:tc>
        <w:tc>
          <w:tcPr>
            <w:tcW w:w="1276" w:type="dxa"/>
            <w:shd w:val="clear" w:color="auto" w:fill="auto"/>
          </w:tcPr>
          <w:p w14:paraId="613D0AD4" w14:textId="4C43CEC5" w:rsidR="00516B95" w:rsidRPr="004771CA" w:rsidRDefault="00516B95" w:rsidP="00DD56F9">
            <w:pPr>
              <w:tabs>
                <w:tab w:val="left" w:pos="851"/>
              </w:tabs>
              <w:spacing w:after="0" w:line="276" w:lineRule="auto"/>
              <w:jc w:val="both"/>
              <w:rPr>
                <w:rFonts w:eastAsia="Times New Roman" w:cs="Times New Roman"/>
                <w:color w:val="000000"/>
                <w:kern w:val="0"/>
                <w:szCs w:val="24"/>
                <w:lang w:val="en-US" w:eastAsia="lt-LT"/>
                <w14:ligatures w14:val="none"/>
              </w:rPr>
            </w:pPr>
            <w:r w:rsidRPr="004771CA">
              <w:rPr>
                <w:rFonts w:eastAsia="Times New Roman" w:cs="Times New Roman"/>
                <w:color w:val="000000"/>
                <w:kern w:val="0"/>
                <w:szCs w:val="24"/>
                <w:lang w:val="en-US" w:eastAsia="lt-LT"/>
                <w14:ligatures w14:val="none"/>
              </w:rPr>
              <w:t>6,58</w:t>
            </w:r>
          </w:p>
        </w:tc>
        <w:tc>
          <w:tcPr>
            <w:tcW w:w="992" w:type="dxa"/>
            <w:shd w:val="clear" w:color="auto" w:fill="auto"/>
          </w:tcPr>
          <w:p w14:paraId="7DD55947"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5,75</w:t>
            </w:r>
          </w:p>
        </w:tc>
        <w:tc>
          <w:tcPr>
            <w:tcW w:w="1077" w:type="dxa"/>
            <w:shd w:val="clear" w:color="auto" w:fill="auto"/>
          </w:tcPr>
          <w:p w14:paraId="7CCEF911"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2,25</w:t>
            </w:r>
          </w:p>
        </w:tc>
        <w:tc>
          <w:tcPr>
            <w:tcW w:w="1587" w:type="dxa"/>
            <w:shd w:val="clear" w:color="auto" w:fill="auto"/>
          </w:tcPr>
          <w:p w14:paraId="2B36002E" w14:textId="4BAC7E8F"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5</w:t>
            </w:r>
            <w:r w:rsidR="00446176">
              <w:rPr>
                <w:rFonts w:eastAsia="Times New Roman" w:cs="Times New Roman"/>
                <w:color w:val="000000"/>
                <w:kern w:val="0"/>
                <w:szCs w:val="24"/>
                <w:lang w:eastAsia="lt-LT"/>
                <w14:ligatures w14:val="none"/>
              </w:rPr>
              <w:t>,0</w:t>
            </w:r>
          </w:p>
        </w:tc>
        <w:tc>
          <w:tcPr>
            <w:tcW w:w="1843" w:type="dxa"/>
            <w:shd w:val="clear" w:color="auto" w:fill="auto"/>
          </w:tcPr>
          <w:p w14:paraId="51B1BA0E"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0,42</w:t>
            </w:r>
          </w:p>
        </w:tc>
        <w:tc>
          <w:tcPr>
            <w:tcW w:w="1440" w:type="dxa"/>
            <w:shd w:val="clear" w:color="auto" w:fill="auto"/>
          </w:tcPr>
          <w:p w14:paraId="2A3B80A8" w14:textId="6740D931"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sidRPr="004771CA">
              <w:rPr>
                <w:rFonts w:eastAsia="Times New Roman" w:cs="Times New Roman"/>
                <w:color w:val="000000"/>
                <w:kern w:val="0"/>
                <w:szCs w:val="24"/>
                <w:lang w:eastAsia="lt-LT"/>
                <w14:ligatures w14:val="none"/>
              </w:rPr>
              <w:t>23,6</w:t>
            </w:r>
          </w:p>
        </w:tc>
      </w:tr>
      <w:tr w:rsidR="00516B95" w:rsidRPr="004771CA" w14:paraId="55196D4D" w14:textId="77777777" w:rsidTr="00446176">
        <w:tc>
          <w:tcPr>
            <w:tcW w:w="1413" w:type="dxa"/>
            <w:shd w:val="clear" w:color="auto" w:fill="auto"/>
          </w:tcPr>
          <w:p w14:paraId="2FD85030"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val="en-US" w:eastAsia="lt-LT"/>
                <w14:ligatures w14:val="none"/>
              </w:rPr>
            </w:pPr>
            <w:r>
              <w:rPr>
                <w:rFonts w:eastAsia="Times New Roman" w:cs="Times New Roman"/>
                <w:color w:val="000000"/>
                <w:kern w:val="0"/>
                <w:szCs w:val="24"/>
                <w:lang w:val="en-US" w:eastAsia="lt-LT"/>
                <w14:ligatures w14:val="none"/>
              </w:rPr>
              <w:t>2023-2024</w:t>
            </w:r>
          </w:p>
        </w:tc>
        <w:tc>
          <w:tcPr>
            <w:tcW w:w="1276" w:type="dxa"/>
            <w:shd w:val="clear" w:color="auto" w:fill="auto"/>
          </w:tcPr>
          <w:p w14:paraId="188920AD"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8,6</w:t>
            </w:r>
          </w:p>
        </w:tc>
        <w:tc>
          <w:tcPr>
            <w:tcW w:w="992" w:type="dxa"/>
            <w:shd w:val="clear" w:color="auto" w:fill="auto"/>
          </w:tcPr>
          <w:p w14:paraId="5FB73B27"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7,25</w:t>
            </w:r>
          </w:p>
        </w:tc>
        <w:tc>
          <w:tcPr>
            <w:tcW w:w="1077" w:type="dxa"/>
            <w:shd w:val="clear" w:color="auto" w:fill="auto"/>
          </w:tcPr>
          <w:p w14:paraId="13652AC0"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3,7</w:t>
            </w:r>
          </w:p>
        </w:tc>
        <w:tc>
          <w:tcPr>
            <w:tcW w:w="1587" w:type="dxa"/>
            <w:shd w:val="clear" w:color="auto" w:fill="auto"/>
          </w:tcPr>
          <w:p w14:paraId="2B25CA96" w14:textId="51789D3F"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5</w:t>
            </w:r>
            <w:r w:rsidR="00446176">
              <w:rPr>
                <w:rFonts w:eastAsia="Times New Roman" w:cs="Times New Roman"/>
                <w:color w:val="000000"/>
                <w:kern w:val="0"/>
                <w:szCs w:val="24"/>
                <w:lang w:eastAsia="lt-LT"/>
                <w14:ligatures w14:val="none"/>
              </w:rPr>
              <w:t>,0</w:t>
            </w:r>
          </w:p>
        </w:tc>
        <w:tc>
          <w:tcPr>
            <w:tcW w:w="1843" w:type="dxa"/>
            <w:shd w:val="clear" w:color="auto" w:fill="auto"/>
          </w:tcPr>
          <w:p w14:paraId="63D9B73A"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0,42</w:t>
            </w:r>
          </w:p>
        </w:tc>
        <w:tc>
          <w:tcPr>
            <w:tcW w:w="1440" w:type="dxa"/>
            <w:shd w:val="clear" w:color="auto" w:fill="auto"/>
          </w:tcPr>
          <w:p w14:paraId="32572B00" w14:textId="77777777" w:rsidR="00516B95" w:rsidRPr="004771CA" w:rsidRDefault="00516B95" w:rsidP="00DD56F9">
            <w:pPr>
              <w:tabs>
                <w:tab w:val="left" w:pos="851"/>
              </w:tabs>
              <w:spacing w:after="0" w:line="276" w:lineRule="auto"/>
              <w:jc w:val="both"/>
              <w:rPr>
                <w:rFonts w:eastAsia="Times New Roman" w:cs="Times New Roman"/>
                <w:color w:val="000000"/>
                <w:kern w:val="0"/>
                <w:szCs w:val="24"/>
                <w:lang w:eastAsia="lt-LT"/>
                <w14:ligatures w14:val="none"/>
              </w:rPr>
            </w:pPr>
            <w:r>
              <w:rPr>
                <w:rFonts w:eastAsia="Times New Roman" w:cs="Times New Roman"/>
                <w:color w:val="000000"/>
                <w:kern w:val="0"/>
                <w:szCs w:val="24"/>
                <w:lang w:eastAsia="lt-LT"/>
                <w14:ligatures w14:val="none"/>
              </w:rPr>
              <w:t>40,95</w:t>
            </w:r>
          </w:p>
        </w:tc>
      </w:tr>
    </w:tbl>
    <w:p w14:paraId="4B82F5B1" w14:textId="77777777" w:rsidR="00516B95" w:rsidRPr="004771CA" w:rsidRDefault="00516B95" w:rsidP="00DD56F9">
      <w:pPr>
        <w:widowControl w:val="0"/>
        <w:shd w:val="clear" w:color="auto" w:fill="FFFFFF"/>
        <w:spacing w:after="0" w:line="360"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 xml:space="preserve">  </w:t>
      </w:r>
    </w:p>
    <w:p w14:paraId="7A187584" w14:textId="407F2895" w:rsidR="00516B95" w:rsidRPr="004771CA" w:rsidRDefault="00516B95" w:rsidP="00DD56F9">
      <w:pPr>
        <w:widowControl w:val="0"/>
        <w:shd w:val="clear" w:color="auto" w:fill="FFFFFF"/>
        <w:spacing w:after="0" w:line="360" w:lineRule="auto"/>
        <w:jc w:val="both"/>
        <w:rPr>
          <w:rFonts w:eastAsia="Times New Roman" w:cs="Times New Roman"/>
          <w:kern w:val="0"/>
          <w:szCs w:val="24"/>
          <w:lang w:eastAsia="lt-LT"/>
          <w14:ligatures w14:val="none"/>
        </w:rPr>
      </w:pPr>
      <w:r w:rsidRPr="004771CA">
        <w:rPr>
          <w:rFonts w:eastAsia="Times New Roman" w:cs="Times New Roman"/>
          <w:kern w:val="0"/>
          <w:szCs w:val="24"/>
          <w:lang w:eastAsia="lt-LT"/>
          <w14:ligatures w14:val="none"/>
        </w:rPr>
        <w:t xml:space="preserve">     Projekto „Koordinuotai mokiniams teikiamų švietimo pagalbos, socialinių ir sveikatos priežiūros paslaugų modelio diegimas Molėtų rajone“ laikotarpiu (2021 m. kovas - 2023 m. rugpjūtis) savivaldybės mokyklose ir Molėtų švietimo pagalbos tarnybos mobilioje komandoje dirb</w:t>
      </w:r>
      <w:r>
        <w:rPr>
          <w:rFonts w:eastAsia="Times New Roman" w:cs="Times New Roman"/>
          <w:kern w:val="0"/>
          <w:szCs w:val="24"/>
          <w:lang w:eastAsia="lt-LT"/>
          <w14:ligatures w14:val="none"/>
        </w:rPr>
        <w:t>o</w:t>
      </w:r>
      <w:r w:rsidRPr="004771CA">
        <w:rPr>
          <w:rFonts w:eastAsia="Times New Roman" w:cs="Times New Roman"/>
          <w:kern w:val="0"/>
          <w:szCs w:val="24"/>
          <w:lang w:eastAsia="lt-LT"/>
          <w14:ligatures w14:val="none"/>
        </w:rPr>
        <w:t xml:space="preserve"> 3 psichologai, 4 logopedai, 2 specialieji pedagogai, 1 socialinis pedagogas </w:t>
      </w:r>
    </w:p>
    <w:p w14:paraId="06523833" w14:textId="64F5E7AD" w:rsidR="00516B95" w:rsidRDefault="004D16E7" w:rsidP="004D16E7">
      <w:pPr>
        <w:spacing w:after="0" w:line="360" w:lineRule="auto"/>
        <w:jc w:val="both"/>
      </w:pPr>
      <w:r>
        <w:t xml:space="preserve">     </w:t>
      </w:r>
      <w:r w:rsidR="00516B95">
        <w:t>Nuo 2023 m. rugsėjo mėnesio, sudarius Sutartį</w:t>
      </w:r>
      <w:r w:rsidR="00516B95" w:rsidRPr="00751D27">
        <w:t xml:space="preserve"> </w:t>
      </w:r>
      <w:r w:rsidR="00516B95">
        <w:t>su ŠMSM, pradėtas vykdyti projektas „</w:t>
      </w:r>
      <w:r w:rsidR="00516B95" w:rsidRPr="007564AF">
        <w:t xml:space="preserve">Visiškos </w:t>
      </w:r>
      <w:proofErr w:type="spellStart"/>
      <w:r w:rsidR="00516B95" w:rsidRPr="007564AF">
        <w:t>įtraukties</w:t>
      </w:r>
      <w:proofErr w:type="spellEnd"/>
      <w:r w:rsidR="00516B95" w:rsidRPr="007564AF">
        <w:t xml:space="preserve"> modelio įgyvendinimas Molėtų pradinėje mokykloje</w:t>
      </w:r>
      <w:r w:rsidR="00516B95">
        <w:t>“, kuris tęsis iki 2026 m. Projekto tikslas - d</w:t>
      </w:r>
      <w:r w:rsidR="00516B95" w:rsidRPr="00D857B4">
        <w:rPr>
          <w:rFonts w:cs="Times New Roman"/>
          <w:bCs/>
          <w:iCs/>
          <w:szCs w:val="24"/>
        </w:rPr>
        <w:t xml:space="preserve">idinti įvairių ugdymosi poreikių turinčių mokinių </w:t>
      </w:r>
      <w:proofErr w:type="spellStart"/>
      <w:r w:rsidR="00516B95" w:rsidRPr="00D857B4">
        <w:rPr>
          <w:rFonts w:cs="Times New Roman"/>
          <w:bCs/>
          <w:iCs/>
          <w:szCs w:val="24"/>
        </w:rPr>
        <w:t>įtrauktį</w:t>
      </w:r>
      <w:proofErr w:type="spellEnd"/>
      <w:r w:rsidR="00516B95" w:rsidRPr="00D857B4">
        <w:rPr>
          <w:rFonts w:cs="Times New Roman"/>
          <w:bCs/>
          <w:iCs/>
          <w:szCs w:val="24"/>
        </w:rPr>
        <w:t xml:space="preserve"> į bendrojo ugdymo klases. Sudaryti 1 </w:t>
      </w:r>
      <w:r w:rsidR="00516B95">
        <w:rPr>
          <w:rFonts w:cs="Times New Roman"/>
          <w:bCs/>
          <w:iCs/>
          <w:szCs w:val="24"/>
        </w:rPr>
        <w:t>a</w:t>
      </w:r>
      <w:r w:rsidR="00516B95" w:rsidRPr="00D857B4">
        <w:rPr>
          <w:rFonts w:cs="Times New Roman"/>
          <w:bCs/>
          <w:iCs/>
          <w:szCs w:val="24"/>
        </w:rPr>
        <w:t xml:space="preserve">tvirąją klasę, išbandant visiškos </w:t>
      </w:r>
      <w:proofErr w:type="spellStart"/>
      <w:r w:rsidR="00516B95" w:rsidRPr="00D857B4">
        <w:rPr>
          <w:rFonts w:cs="Times New Roman"/>
          <w:bCs/>
          <w:iCs/>
          <w:szCs w:val="24"/>
        </w:rPr>
        <w:t>įtraukties</w:t>
      </w:r>
      <w:proofErr w:type="spellEnd"/>
      <w:r w:rsidR="00516B95" w:rsidRPr="00D857B4">
        <w:rPr>
          <w:rFonts w:cs="Times New Roman"/>
          <w:bCs/>
          <w:iCs/>
          <w:szCs w:val="24"/>
        </w:rPr>
        <w:t xml:space="preserve"> modelį Molėtų rajono savivaldybės Molėtų pradinėje mokykloje.  </w:t>
      </w:r>
    </w:p>
    <w:p w14:paraId="0EABCF43" w14:textId="77777777" w:rsidR="00516B95" w:rsidRDefault="00516B95" w:rsidP="00DD56F9">
      <w:pPr>
        <w:spacing w:after="200" w:line="360" w:lineRule="auto"/>
        <w:contextualSpacing/>
        <w:jc w:val="both"/>
        <w:rPr>
          <w:rFonts w:eastAsia="Calibri" w:cs="Times New Roman"/>
          <w:b/>
          <w:kern w:val="0"/>
          <w:szCs w:val="24"/>
          <w14:ligatures w14:val="none"/>
        </w:rPr>
      </w:pPr>
    </w:p>
    <w:p w14:paraId="29EEB54C" w14:textId="77777777" w:rsidR="008B66FD" w:rsidRPr="00AA4CE0" w:rsidRDefault="008B66FD" w:rsidP="00DD56F9">
      <w:pPr>
        <w:spacing w:line="360" w:lineRule="auto"/>
        <w:ind w:firstLine="1296"/>
        <w:jc w:val="both"/>
        <w:rPr>
          <w:b/>
        </w:rPr>
      </w:pPr>
      <w:r w:rsidRPr="00AA4CE0">
        <w:rPr>
          <w:b/>
        </w:rPr>
        <w:t>Neformalusis mokinių švietimas</w:t>
      </w:r>
    </w:p>
    <w:p w14:paraId="3E85F945" w14:textId="7157D821" w:rsidR="008B66FD" w:rsidRPr="006D4956" w:rsidRDefault="00E27391" w:rsidP="00DD56F9">
      <w:pPr>
        <w:spacing w:line="360" w:lineRule="auto"/>
        <w:jc w:val="both"/>
        <w:rPr>
          <w:rFonts w:eastAsia="Microsoft Sans Serif"/>
          <w:color w:val="000000"/>
          <w:lang w:val="lt"/>
        </w:rPr>
      </w:pPr>
      <w:r w:rsidRPr="006D4956">
        <w:rPr>
          <w:rFonts w:eastAsia="Microsoft Sans Serif"/>
          <w:color w:val="000000"/>
          <w:lang w:val="lt"/>
        </w:rPr>
        <w:t xml:space="preserve">         </w:t>
      </w:r>
      <w:r w:rsidR="008B66FD" w:rsidRPr="006D4956">
        <w:rPr>
          <w:rFonts w:eastAsia="Microsoft Sans Serif"/>
          <w:color w:val="000000"/>
          <w:lang w:val="lt"/>
        </w:rPr>
        <w:t>2023 metais neformaliajame ugdyme dalyvavo 1102 mokiniai (73,4 proc.). Mokyklose būrelius lankė 760 mokinių (50,6 proc.), Molėtų menų mokykloje ir Molėtų r. Kūno kultūros ir sporto centre ugdėsi 533 mokiniai (35,5 proc.), Neformaliojo vaikų švietimo programas lankė 443 (29,5 proc.) rajono mokiniai. Buvo vykdoma 30 Neformaliojo vaikų švietimo programų. Jų finansavimui buvo gauta 75400 Eur.</w:t>
      </w:r>
    </w:p>
    <w:p w14:paraId="34B89F17" w14:textId="43DA68C4" w:rsidR="008B66FD" w:rsidRPr="00AA4CE0" w:rsidRDefault="00E27391" w:rsidP="00DD56F9">
      <w:pPr>
        <w:spacing w:line="360" w:lineRule="auto"/>
        <w:jc w:val="both"/>
        <w:rPr>
          <w:rFonts w:eastAsia="Microsoft Sans Serif"/>
          <w:color w:val="000000"/>
          <w:lang w:val="lt"/>
        </w:rPr>
      </w:pPr>
      <w:r w:rsidRPr="006D4956">
        <w:rPr>
          <w:rFonts w:eastAsia="Microsoft Sans Serif"/>
          <w:color w:val="000000"/>
          <w:lang w:val="lt"/>
        </w:rPr>
        <w:t xml:space="preserve">         </w:t>
      </w:r>
      <w:r w:rsidR="008B66FD" w:rsidRPr="006D4956">
        <w:rPr>
          <w:rFonts w:eastAsia="Microsoft Sans Serif"/>
          <w:color w:val="000000"/>
          <w:lang w:val="lt"/>
        </w:rPr>
        <w:t xml:space="preserve"> Buvo parengti savivaldybės administracijos direktoriaus įsakymų projektai  susiję su vaikų vasaros stovyklų programų konkursu: konkurso skelbimu, lėšų paskirstymu vaikų stovyklų programų įgyvendinimui. Taip pat buvo parengti įsakymų projektai, susiję su Neformaliuoju vaikų švietimu: dėl NVŠ programų, atitinkančių reikalavimus sąrašo tvirtinimo, dėl lėšų programų vykdymui skyrimo.</w:t>
      </w:r>
    </w:p>
    <w:p w14:paraId="59D1720E" w14:textId="77777777" w:rsidR="00E27391" w:rsidRDefault="00E27391" w:rsidP="00DD56F9">
      <w:pPr>
        <w:tabs>
          <w:tab w:val="left" w:pos="720"/>
        </w:tabs>
        <w:spacing w:line="360" w:lineRule="auto"/>
        <w:jc w:val="both"/>
        <w:rPr>
          <w:b/>
        </w:rPr>
      </w:pPr>
    </w:p>
    <w:p w14:paraId="5E03EC4D" w14:textId="77777777" w:rsidR="00E27391" w:rsidRDefault="00E27391" w:rsidP="00DD56F9">
      <w:pPr>
        <w:tabs>
          <w:tab w:val="left" w:pos="720"/>
        </w:tabs>
        <w:spacing w:line="360" w:lineRule="auto"/>
        <w:jc w:val="both"/>
        <w:rPr>
          <w:b/>
        </w:rPr>
      </w:pPr>
    </w:p>
    <w:p w14:paraId="4ABFD1EE" w14:textId="77777777" w:rsidR="006D4956" w:rsidRDefault="006D4956" w:rsidP="00DD56F9">
      <w:pPr>
        <w:tabs>
          <w:tab w:val="left" w:pos="720"/>
        </w:tabs>
        <w:spacing w:line="360" w:lineRule="auto"/>
        <w:jc w:val="both"/>
        <w:rPr>
          <w:b/>
        </w:rPr>
      </w:pPr>
    </w:p>
    <w:p w14:paraId="6AA03B02" w14:textId="77777777" w:rsidR="006D4956" w:rsidRDefault="006D4956" w:rsidP="00DD56F9">
      <w:pPr>
        <w:tabs>
          <w:tab w:val="left" w:pos="720"/>
        </w:tabs>
        <w:spacing w:line="360" w:lineRule="auto"/>
        <w:jc w:val="both"/>
        <w:rPr>
          <w:b/>
        </w:rPr>
      </w:pPr>
    </w:p>
    <w:p w14:paraId="29BBF2B9" w14:textId="5311695D" w:rsidR="008B66FD" w:rsidRPr="00AA4CE0" w:rsidRDefault="008B66FD" w:rsidP="00DD56F9">
      <w:pPr>
        <w:tabs>
          <w:tab w:val="left" w:pos="720"/>
        </w:tabs>
        <w:spacing w:line="360" w:lineRule="auto"/>
        <w:jc w:val="both"/>
        <w:rPr>
          <w:b/>
          <w:color w:val="FF0000"/>
        </w:rPr>
      </w:pPr>
      <w:r w:rsidRPr="00AA4CE0">
        <w:rPr>
          <w:b/>
        </w:rPr>
        <w:t>Vaikų vasaros poilsio organizavimas</w:t>
      </w:r>
    </w:p>
    <w:p w14:paraId="2A5B73FB" w14:textId="77777777" w:rsidR="008B66FD" w:rsidRPr="00AA4CE0" w:rsidRDefault="008B66FD" w:rsidP="00DD56F9">
      <w:pPr>
        <w:tabs>
          <w:tab w:val="left" w:pos="720"/>
        </w:tabs>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1314"/>
        <w:gridCol w:w="1314"/>
        <w:gridCol w:w="1308"/>
        <w:gridCol w:w="1184"/>
        <w:gridCol w:w="1184"/>
      </w:tblGrid>
      <w:tr w:rsidR="008B66FD" w:rsidRPr="00AA4CE0" w14:paraId="069F67B3" w14:textId="77777777" w:rsidTr="00732EC7">
        <w:tc>
          <w:tcPr>
            <w:tcW w:w="3545" w:type="dxa"/>
            <w:shd w:val="clear" w:color="auto" w:fill="auto"/>
          </w:tcPr>
          <w:p w14:paraId="117D36AF" w14:textId="77777777" w:rsidR="008B66FD" w:rsidRPr="00AA4CE0" w:rsidRDefault="008B66FD" w:rsidP="00DD56F9">
            <w:pPr>
              <w:tabs>
                <w:tab w:val="left" w:pos="720"/>
              </w:tabs>
              <w:spacing w:line="360" w:lineRule="auto"/>
              <w:jc w:val="both"/>
              <w:rPr>
                <w:b/>
              </w:rPr>
            </w:pPr>
          </w:p>
        </w:tc>
        <w:tc>
          <w:tcPr>
            <w:tcW w:w="1351" w:type="dxa"/>
            <w:shd w:val="clear" w:color="auto" w:fill="auto"/>
          </w:tcPr>
          <w:p w14:paraId="0BA78A87" w14:textId="77777777" w:rsidR="008B66FD" w:rsidRPr="00AA4CE0" w:rsidRDefault="008B66FD" w:rsidP="00DD56F9">
            <w:pPr>
              <w:tabs>
                <w:tab w:val="left" w:pos="720"/>
              </w:tabs>
              <w:spacing w:line="360" w:lineRule="auto"/>
              <w:jc w:val="both"/>
              <w:rPr>
                <w:b/>
              </w:rPr>
            </w:pPr>
            <w:r w:rsidRPr="00AA4CE0">
              <w:rPr>
                <w:b/>
              </w:rPr>
              <w:t>2019 m.</w:t>
            </w:r>
          </w:p>
        </w:tc>
        <w:tc>
          <w:tcPr>
            <w:tcW w:w="1351" w:type="dxa"/>
          </w:tcPr>
          <w:p w14:paraId="357A244D" w14:textId="77777777" w:rsidR="008B66FD" w:rsidRPr="00AA4CE0" w:rsidRDefault="008B66FD" w:rsidP="00DD56F9">
            <w:pPr>
              <w:tabs>
                <w:tab w:val="left" w:pos="720"/>
              </w:tabs>
              <w:spacing w:line="360" w:lineRule="auto"/>
              <w:jc w:val="both"/>
              <w:rPr>
                <w:b/>
              </w:rPr>
            </w:pPr>
            <w:r w:rsidRPr="00AA4CE0">
              <w:rPr>
                <w:b/>
              </w:rPr>
              <w:t>2020 m.</w:t>
            </w:r>
          </w:p>
        </w:tc>
        <w:tc>
          <w:tcPr>
            <w:tcW w:w="1345" w:type="dxa"/>
          </w:tcPr>
          <w:p w14:paraId="29CF6DD9" w14:textId="77777777" w:rsidR="008B66FD" w:rsidRPr="00AA4CE0" w:rsidRDefault="008B66FD" w:rsidP="00DD56F9">
            <w:pPr>
              <w:tabs>
                <w:tab w:val="left" w:pos="720"/>
              </w:tabs>
              <w:spacing w:line="360" w:lineRule="auto"/>
              <w:jc w:val="both"/>
              <w:rPr>
                <w:b/>
              </w:rPr>
            </w:pPr>
            <w:r w:rsidRPr="00AA4CE0">
              <w:rPr>
                <w:b/>
              </w:rPr>
              <w:t>2021 m.</w:t>
            </w:r>
          </w:p>
        </w:tc>
        <w:tc>
          <w:tcPr>
            <w:tcW w:w="1206" w:type="dxa"/>
          </w:tcPr>
          <w:p w14:paraId="15B5E970" w14:textId="77777777" w:rsidR="008B66FD" w:rsidRPr="00AA4CE0" w:rsidRDefault="008B66FD" w:rsidP="00DD56F9">
            <w:pPr>
              <w:tabs>
                <w:tab w:val="left" w:pos="720"/>
              </w:tabs>
              <w:spacing w:line="360" w:lineRule="auto"/>
              <w:jc w:val="both"/>
              <w:rPr>
                <w:b/>
              </w:rPr>
            </w:pPr>
            <w:r w:rsidRPr="00AA4CE0">
              <w:rPr>
                <w:b/>
              </w:rPr>
              <w:t>2022 m.</w:t>
            </w:r>
          </w:p>
        </w:tc>
        <w:tc>
          <w:tcPr>
            <w:tcW w:w="1206" w:type="dxa"/>
          </w:tcPr>
          <w:p w14:paraId="7EC92BBA" w14:textId="77777777" w:rsidR="008B66FD" w:rsidRPr="006D4956" w:rsidRDefault="008B66FD" w:rsidP="00DD56F9">
            <w:pPr>
              <w:tabs>
                <w:tab w:val="left" w:pos="720"/>
              </w:tabs>
              <w:spacing w:line="360" w:lineRule="auto"/>
              <w:jc w:val="both"/>
              <w:rPr>
                <w:b/>
              </w:rPr>
            </w:pPr>
            <w:r w:rsidRPr="006D4956">
              <w:rPr>
                <w:b/>
              </w:rPr>
              <w:t>2023 m.</w:t>
            </w:r>
          </w:p>
        </w:tc>
      </w:tr>
      <w:tr w:rsidR="008B66FD" w:rsidRPr="00AA4CE0" w14:paraId="625D61A2" w14:textId="77777777" w:rsidTr="00732EC7">
        <w:tc>
          <w:tcPr>
            <w:tcW w:w="3545" w:type="dxa"/>
            <w:shd w:val="clear" w:color="auto" w:fill="auto"/>
          </w:tcPr>
          <w:p w14:paraId="2C59EB83" w14:textId="77777777" w:rsidR="008B66FD" w:rsidRPr="00AA4CE0" w:rsidRDefault="008B66FD" w:rsidP="00DD56F9">
            <w:pPr>
              <w:tabs>
                <w:tab w:val="left" w:pos="720"/>
              </w:tabs>
              <w:spacing w:line="360" w:lineRule="auto"/>
              <w:jc w:val="both"/>
            </w:pPr>
            <w:r w:rsidRPr="00AA4CE0">
              <w:t>Iš savivaldybės biudžeto skirtos lėšos vaikų vasaros poilsio stovykloms eurais</w:t>
            </w:r>
          </w:p>
        </w:tc>
        <w:tc>
          <w:tcPr>
            <w:tcW w:w="1351" w:type="dxa"/>
            <w:shd w:val="clear" w:color="auto" w:fill="auto"/>
          </w:tcPr>
          <w:p w14:paraId="10ACBDE2" w14:textId="77777777" w:rsidR="008B66FD" w:rsidRPr="00AA4CE0" w:rsidRDefault="008B66FD" w:rsidP="00DD56F9">
            <w:pPr>
              <w:tabs>
                <w:tab w:val="left" w:pos="720"/>
              </w:tabs>
              <w:spacing w:line="360" w:lineRule="auto"/>
              <w:jc w:val="both"/>
            </w:pPr>
            <w:r w:rsidRPr="00AA4CE0">
              <w:t>18000</w:t>
            </w:r>
            <w:r>
              <w:t>,0</w:t>
            </w:r>
          </w:p>
        </w:tc>
        <w:tc>
          <w:tcPr>
            <w:tcW w:w="1351" w:type="dxa"/>
          </w:tcPr>
          <w:p w14:paraId="4DFD50E8" w14:textId="77777777" w:rsidR="008B66FD" w:rsidRPr="00AA4CE0" w:rsidRDefault="008B66FD" w:rsidP="00DD56F9">
            <w:pPr>
              <w:tabs>
                <w:tab w:val="left" w:pos="720"/>
              </w:tabs>
              <w:spacing w:line="360" w:lineRule="auto"/>
              <w:jc w:val="both"/>
            </w:pPr>
            <w:r w:rsidRPr="00AA4CE0">
              <w:t>22433</w:t>
            </w:r>
            <w:r>
              <w:t>,0</w:t>
            </w:r>
          </w:p>
        </w:tc>
        <w:tc>
          <w:tcPr>
            <w:tcW w:w="1345" w:type="dxa"/>
          </w:tcPr>
          <w:p w14:paraId="0A15AAE7" w14:textId="77777777" w:rsidR="008B66FD" w:rsidRPr="00AA4CE0" w:rsidRDefault="008B66FD" w:rsidP="00DD56F9">
            <w:pPr>
              <w:tabs>
                <w:tab w:val="left" w:pos="720"/>
              </w:tabs>
              <w:spacing w:line="360" w:lineRule="auto"/>
              <w:jc w:val="both"/>
            </w:pPr>
            <w:r w:rsidRPr="00AA4CE0">
              <w:t>14998</w:t>
            </w:r>
            <w:r>
              <w:t>,0</w:t>
            </w:r>
          </w:p>
        </w:tc>
        <w:tc>
          <w:tcPr>
            <w:tcW w:w="1206" w:type="dxa"/>
          </w:tcPr>
          <w:p w14:paraId="7C4A127E" w14:textId="77777777" w:rsidR="008B66FD" w:rsidRPr="00AA4CE0" w:rsidRDefault="008B66FD" w:rsidP="00DD56F9">
            <w:pPr>
              <w:tabs>
                <w:tab w:val="left" w:pos="720"/>
              </w:tabs>
              <w:spacing w:line="360" w:lineRule="auto"/>
              <w:jc w:val="both"/>
            </w:pPr>
            <w:r w:rsidRPr="00AA4CE0">
              <w:t>1800</w:t>
            </w:r>
            <w:r>
              <w:t>0,0</w:t>
            </w:r>
          </w:p>
        </w:tc>
        <w:tc>
          <w:tcPr>
            <w:tcW w:w="1206" w:type="dxa"/>
          </w:tcPr>
          <w:p w14:paraId="40B45CEA" w14:textId="77777777" w:rsidR="008B66FD" w:rsidRPr="006D4956" w:rsidRDefault="008B66FD" w:rsidP="00DD56F9">
            <w:pPr>
              <w:tabs>
                <w:tab w:val="left" w:pos="720"/>
              </w:tabs>
              <w:spacing w:line="360" w:lineRule="auto"/>
              <w:jc w:val="both"/>
            </w:pPr>
            <w:r w:rsidRPr="006D4956">
              <w:t>22181,0</w:t>
            </w:r>
          </w:p>
        </w:tc>
      </w:tr>
      <w:tr w:rsidR="008B66FD" w:rsidRPr="00AA4CE0" w14:paraId="1FB68923" w14:textId="77777777" w:rsidTr="00732EC7">
        <w:tc>
          <w:tcPr>
            <w:tcW w:w="3545" w:type="dxa"/>
            <w:shd w:val="clear" w:color="auto" w:fill="auto"/>
          </w:tcPr>
          <w:p w14:paraId="337781E2" w14:textId="77777777" w:rsidR="008B66FD" w:rsidRPr="00AA4CE0" w:rsidRDefault="008B66FD" w:rsidP="00DD56F9">
            <w:pPr>
              <w:tabs>
                <w:tab w:val="left" w:pos="720"/>
              </w:tabs>
              <w:spacing w:line="360" w:lineRule="auto"/>
              <w:jc w:val="both"/>
            </w:pPr>
            <w:r w:rsidRPr="00AA4CE0">
              <w:t>Vaikų vasaros poilsio stovyklų skaičius</w:t>
            </w:r>
          </w:p>
        </w:tc>
        <w:tc>
          <w:tcPr>
            <w:tcW w:w="1351" w:type="dxa"/>
            <w:shd w:val="clear" w:color="auto" w:fill="auto"/>
          </w:tcPr>
          <w:p w14:paraId="0ABE8283" w14:textId="77777777" w:rsidR="008B66FD" w:rsidRPr="00AA4CE0" w:rsidRDefault="008B66FD" w:rsidP="00DD56F9">
            <w:pPr>
              <w:tabs>
                <w:tab w:val="left" w:pos="720"/>
              </w:tabs>
              <w:spacing w:line="360" w:lineRule="auto"/>
              <w:jc w:val="both"/>
            </w:pPr>
            <w:r w:rsidRPr="00AA4CE0">
              <w:t>20</w:t>
            </w:r>
          </w:p>
        </w:tc>
        <w:tc>
          <w:tcPr>
            <w:tcW w:w="1351" w:type="dxa"/>
          </w:tcPr>
          <w:p w14:paraId="49A19309" w14:textId="77777777" w:rsidR="008B66FD" w:rsidRPr="00AA4CE0" w:rsidRDefault="008B66FD" w:rsidP="00DD56F9">
            <w:pPr>
              <w:tabs>
                <w:tab w:val="left" w:pos="720"/>
              </w:tabs>
              <w:spacing w:line="360" w:lineRule="auto"/>
              <w:jc w:val="both"/>
            </w:pPr>
            <w:r w:rsidRPr="00AA4CE0">
              <w:t>14</w:t>
            </w:r>
          </w:p>
        </w:tc>
        <w:tc>
          <w:tcPr>
            <w:tcW w:w="1345" w:type="dxa"/>
          </w:tcPr>
          <w:p w14:paraId="5692A9FE" w14:textId="77777777" w:rsidR="008B66FD" w:rsidRPr="00AA4CE0" w:rsidRDefault="008B66FD" w:rsidP="00DD56F9">
            <w:pPr>
              <w:tabs>
                <w:tab w:val="left" w:pos="720"/>
              </w:tabs>
              <w:spacing w:line="360" w:lineRule="auto"/>
              <w:jc w:val="both"/>
            </w:pPr>
            <w:r w:rsidRPr="00AA4CE0">
              <w:t>16</w:t>
            </w:r>
          </w:p>
        </w:tc>
        <w:tc>
          <w:tcPr>
            <w:tcW w:w="1206" w:type="dxa"/>
          </w:tcPr>
          <w:p w14:paraId="53905A6D" w14:textId="77777777" w:rsidR="008B66FD" w:rsidRPr="00AA4CE0" w:rsidRDefault="008B66FD" w:rsidP="00DD56F9">
            <w:pPr>
              <w:tabs>
                <w:tab w:val="left" w:pos="720"/>
              </w:tabs>
              <w:spacing w:line="360" w:lineRule="auto"/>
              <w:jc w:val="both"/>
            </w:pPr>
            <w:r w:rsidRPr="00AA4CE0">
              <w:t>15</w:t>
            </w:r>
          </w:p>
        </w:tc>
        <w:tc>
          <w:tcPr>
            <w:tcW w:w="1206" w:type="dxa"/>
          </w:tcPr>
          <w:p w14:paraId="63E9E9AD" w14:textId="77777777" w:rsidR="008B66FD" w:rsidRPr="006D4956" w:rsidRDefault="008B66FD" w:rsidP="00DD56F9">
            <w:pPr>
              <w:tabs>
                <w:tab w:val="left" w:pos="720"/>
              </w:tabs>
              <w:spacing w:line="360" w:lineRule="auto"/>
              <w:jc w:val="both"/>
            </w:pPr>
            <w:r w:rsidRPr="006D4956">
              <w:t>17</w:t>
            </w:r>
          </w:p>
        </w:tc>
      </w:tr>
      <w:tr w:rsidR="008B66FD" w:rsidRPr="00AA4CE0" w14:paraId="057F19D4" w14:textId="77777777" w:rsidTr="00732EC7">
        <w:tc>
          <w:tcPr>
            <w:tcW w:w="3545" w:type="dxa"/>
            <w:shd w:val="clear" w:color="auto" w:fill="auto"/>
          </w:tcPr>
          <w:p w14:paraId="38B7BDC9" w14:textId="77777777" w:rsidR="008B66FD" w:rsidRPr="00AA4CE0" w:rsidRDefault="008B66FD" w:rsidP="00DD56F9">
            <w:pPr>
              <w:tabs>
                <w:tab w:val="left" w:pos="720"/>
              </w:tabs>
              <w:spacing w:line="360" w:lineRule="auto"/>
              <w:jc w:val="both"/>
            </w:pPr>
            <w:r w:rsidRPr="00AA4CE0">
              <w:t>Stovyklose dalyvavusių vaikų skaičius</w:t>
            </w:r>
          </w:p>
        </w:tc>
        <w:tc>
          <w:tcPr>
            <w:tcW w:w="1351" w:type="dxa"/>
            <w:shd w:val="clear" w:color="auto" w:fill="auto"/>
          </w:tcPr>
          <w:p w14:paraId="7BF89917" w14:textId="77777777" w:rsidR="008B66FD" w:rsidRPr="00AA4CE0" w:rsidRDefault="008B66FD" w:rsidP="00DD56F9">
            <w:pPr>
              <w:tabs>
                <w:tab w:val="left" w:pos="720"/>
              </w:tabs>
              <w:spacing w:line="360" w:lineRule="auto"/>
              <w:jc w:val="both"/>
            </w:pPr>
            <w:r w:rsidRPr="00AA4CE0">
              <w:t>405</w:t>
            </w:r>
          </w:p>
        </w:tc>
        <w:tc>
          <w:tcPr>
            <w:tcW w:w="1351" w:type="dxa"/>
          </w:tcPr>
          <w:p w14:paraId="0B15F5BA" w14:textId="77777777" w:rsidR="008B66FD" w:rsidRPr="00AA4CE0" w:rsidRDefault="008B66FD" w:rsidP="00DD56F9">
            <w:pPr>
              <w:tabs>
                <w:tab w:val="left" w:pos="720"/>
              </w:tabs>
              <w:spacing w:line="360" w:lineRule="auto"/>
              <w:jc w:val="both"/>
            </w:pPr>
            <w:r w:rsidRPr="00AA4CE0">
              <w:t>353</w:t>
            </w:r>
          </w:p>
        </w:tc>
        <w:tc>
          <w:tcPr>
            <w:tcW w:w="1345" w:type="dxa"/>
          </w:tcPr>
          <w:p w14:paraId="6480A979" w14:textId="77777777" w:rsidR="008B66FD" w:rsidRPr="00AA4CE0" w:rsidRDefault="008B66FD" w:rsidP="00DD56F9">
            <w:pPr>
              <w:tabs>
                <w:tab w:val="left" w:pos="720"/>
              </w:tabs>
              <w:spacing w:line="360" w:lineRule="auto"/>
              <w:jc w:val="both"/>
            </w:pPr>
            <w:r w:rsidRPr="00AA4CE0">
              <w:t>406</w:t>
            </w:r>
          </w:p>
        </w:tc>
        <w:tc>
          <w:tcPr>
            <w:tcW w:w="1206" w:type="dxa"/>
          </w:tcPr>
          <w:p w14:paraId="36F27D0B" w14:textId="77777777" w:rsidR="008B66FD" w:rsidRPr="00AA4CE0" w:rsidRDefault="008B66FD" w:rsidP="00DD56F9">
            <w:pPr>
              <w:tabs>
                <w:tab w:val="left" w:pos="720"/>
              </w:tabs>
              <w:spacing w:line="360" w:lineRule="auto"/>
              <w:jc w:val="both"/>
            </w:pPr>
            <w:r w:rsidRPr="00AA4CE0">
              <w:t>428</w:t>
            </w:r>
          </w:p>
        </w:tc>
        <w:tc>
          <w:tcPr>
            <w:tcW w:w="1206" w:type="dxa"/>
          </w:tcPr>
          <w:p w14:paraId="0FB3F307" w14:textId="77777777" w:rsidR="008B66FD" w:rsidRPr="006D4956" w:rsidRDefault="008B66FD" w:rsidP="00DD56F9">
            <w:pPr>
              <w:tabs>
                <w:tab w:val="left" w:pos="720"/>
              </w:tabs>
              <w:spacing w:line="360" w:lineRule="auto"/>
              <w:jc w:val="both"/>
            </w:pPr>
            <w:r w:rsidRPr="006D4956">
              <w:t>366</w:t>
            </w:r>
          </w:p>
        </w:tc>
      </w:tr>
      <w:tr w:rsidR="008B66FD" w:rsidRPr="00AA4CE0" w14:paraId="44F1AB4C" w14:textId="77777777" w:rsidTr="00732EC7">
        <w:tc>
          <w:tcPr>
            <w:tcW w:w="3545" w:type="dxa"/>
            <w:shd w:val="clear" w:color="auto" w:fill="auto"/>
          </w:tcPr>
          <w:p w14:paraId="780E9C06" w14:textId="77777777" w:rsidR="008B66FD" w:rsidRPr="00AA4CE0" w:rsidRDefault="008B66FD" w:rsidP="00DD56F9">
            <w:pPr>
              <w:tabs>
                <w:tab w:val="left" w:pos="720"/>
              </w:tabs>
              <w:spacing w:line="360" w:lineRule="auto"/>
              <w:jc w:val="both"/>
            </w:pPr>
            <w:r w:rsidRPr="00AA4CE0">
              <w:t>Stovyklose dalyvavusių vaikų iš socialiai remtinų šeimų, skaičius</w:t>
            </w:r>
          </w:p>
        </w:tc>
        <w:tc>
          <w:tcPr>
            <w:tcW w:w="1351" w:type="dxa"/>
            <w:shd w:val="clear" w:color="auto" w:fill="auto"/>
          </w:tcPr>
          <w:p w14:paraId="6384935B" w14:textId="77777777" w:rsidR="008B66FD" w:rsidRPr="00AA4CE0" w:rsidRDefault="008B66FD" w:rsidP="00DD56F9">
            <w:pPr>
              <w:tabs>
                <w:tab w:val="left" w:pos="720"/>
              </w:tabs>
              <w:spacing w:line="360" w:lineRule="auto"/>
              <w:jc w:val="both"/>
            </w:pPr>
            <w:r w:rsidRPr="00AA4CE0">
              <w:t>214</w:t>
            </w:r>
          </w:p>
        </w:tc>
        <w:tc>
          <w:tcPr>
            <w:tcW w:w="1351" w:type="dxa"/>
          </w:tcPr>
          <w:p w14:paraId="7015E997" w14:textId="77777777" w:rsidR="008B66FD" w:rsidRPr="00AA4CE0" w:rsidRDefault="008B66FD" w:rsidP="00DD56F9">
            <w:pPr>
              <w:tabs>
                <w:tab w:val="left" w:pos="720"/>
              </w:tabs>
              <w:spacing w:line="360" w:lineRule="auto"/>
              <w:jc w:val="both"/>
            </w:pPr>
            <w:r w:rsidRPr="00AA4CE0">
              <w:t>127</w:t>
            </w:r>
          </w:p>
        </w:tc>
        <w:tc>
          <w:tcPr>
            <w:tcW w:w="1345" w:type="dxa"/>
          </w:tcPr>
          <w:p w14:paraId="13AF3667" w14:textId="77777777" w:rsidR="008B66FD" w:rsidRPr="00AA4CE0" w:rsidRDefault="008B66FD" w:rsidP="00DD56F9">
            <w:pPr>
              <w:tabs>
                <w:tab w:val="left" w:pos="720"/>
              </w:tabs>
              <w:spacing w:line="360" w:lineRule="auto"/>
              <w:jc w:val="both"/>
            </w:pPr>
            <w:r w:rsidRPr="00AA4CE0">
              <w:t>145</w:t>
            </w:r>
          </w:p>
        </w:tc>
        <w:tc>
          <w:tcPr>
            <w:tcW w:w="1206" w:type="dxa"/>
          </w:tcPr>
          <w:p w14:paraId="43C6BA4D" w14:textId="77777777" w:rsidR="008B66FD" w:rsidRPr="00AA4CE0" w:rsidRDefault="008B66FD" w:rsidP="00DD56F9">
            <w:pPr>
              <w:tabs>
                <w:tab w:val="left" w:pos="720"/>
              </w:tabs>
              <w:spacing w:line="360" w:lineRule="auto"/>
              <w:jc w:val="both"/>
            </w:pPr>
            <w:r w:rsidRPr="00AA4CE0">
              <w:t>176</w:t>
            </w:r>
          </w:p>
        </w:tc>
        <w:tc>
          <w:tcPr>
            <w:tcW w:w="1206" w:type="dxa"/>
          </w:tcPr>
          <w:p w14:paraId="39E5EE3F" w14:textId="77777777" w:rsidR="008B66FD" w:rsidRPr="006D4956" w:rsidRDefault="008B66FD" w:rsidP="00DD56F9">
            <w:pPr>
              <w:tabs>
                <w:tab w:val="left" w:pos="720"/>
              </w:tabs>
              <w:spacing w:line="360" w:lineRule="auto"/>
              <w:jc w:val="both"/>
            </w:pPr>
            <w:r w:rsidRPr="006D4956">
              <w:t>141</w:t>
            </w:r>
          </w:p>
        </w:tc>
      </w:tr>
    </w:tbl>
    <w:p w14:paraId="0645563C" w14:textId="77777777" w:rsidR="008B66FD" w:rsidRPr="00AA4CE0" w:rsidRDefault="008B66FD" w:rsidP="00DD56F9">
      <w:pPr>
        <w:tabs>
          <w:tab w:val="left" w:pos="720"/>
        </w:tabs>
        <w:spacing w:line="360" w:lineRule="auto"/>
        <w:jc w:val="both"/>
        <w:rPr>
          <w:b/>
        </w:rPr>
      </w:pPr>
    </w:p>
    <w:p w14:paraId="70988C37" w14:textId="1DDC2257" w:rsidR="004C4DB6" w:rsidRDefault="004D16E7" w:rsidP="00DD56F9">
      <w:pPr>
        <w:spacing w:line="360" w:lineRule="auto"/>
        <w:jc w:val="both"/>
      </w:pPr>
      <w:r>
        <w:t xml:space="preserve">      </w:t>
      </w:r>
      <w:r w:rsidR="004C4DB6">
        <w:t xml:space="preserve">2023 metais nesimokė </w:t>
      </w:r>
      <w:r w:rsidR="004C4DB6">
        <w:rPr>
          <w:lang w:val="en-US"/>
        </w:rPr>
        <w:t xml:space="preserve">44 </w:t>
      </w:r>
      <w:r w:rsidR="004C4DB6">
        <w:t xml:space="preserve">vaikai iki 16 metų, Molėtų rajono savivaldybėje deklaravę gyvenamąją vietą. Visų jų nesimokymo priežastys – išvykimas iš šalies. Ketvirtus metus iš eilės mažėja išvykusiųjų į užsienį </w:t>
      </w:r>
      <w:r w:rsidR="004C4DB6">
        <w:rPr>
          <w:lang w:val="en-US"/>
        </w:rPr>
        <w:t xml:space="preserve">6-16 </w:t>
      </w:r>
      <w:r w:rsidR="004C4DB6">
        <w:t xml:space="preserve">metų mokinių dalis. </w:t>
      </w:r>
    </w:p>
    <w:p w14:paraId="274810E5" w14:textId="77777777" w:rsidR="004C4DB6" w:rsidRDefault="004C4DB6" w:rsidP="00DD56F9">
      <w:pPr>
        <w:spacing w:line="360" w:lineRule="auto"/>
        <w:jc w:val="both"/>
        <w:rPr>
          <w:b/>
          <w:bCs/>
          <w:lang w:val="en-US"/>
        </w:rPr>
      </w:pPr>
      <w:r>
        <w:rPr>
          <w:b/>
          <w:bCs/>
        </w:rPr>
        <w:t>Pagal privalomojo ugdymo programas nesimokančių 6-16 metų vaikų dalis/pokytis  (</w:t>
      </w:r>
      <w:r>
        <w:rPr>
          <w:b/>
          <w:bCs/>
          <w:lang w:val="en-US"/>
        </w:rPr>
        <w:t>proc.)</w:t>
      </w:r>
    </w:p>
    <w:tbl>
      <w:tblPr>
        <w:tblW w:w="0" w:type="auto"/>
        <w:tblInd w:w="-34" w:type="dxa"/>
        <w:tblCellMar>
          <w:left w:w="0" w:type="dxa"/>
          <w:right w:w="0" w:type="dxa"/>
        </w:tblCellMar>
        <w:tblLook w:val="04A0" w:firstRow="1" w:lastRow="0" w:firstColumn="1" w:lastColumn="0" w:noHBand="0" w:noVBand="1"/>
      </w:tblPr>
      <w:tblGrid>
        <w:gridCol w:w="2433"/>
        <w:gridCol w:w="2535"/>
        <w:gridCol w:w="2407"/>
        <w:gridCol w:w="2277"/>
      </w:tblGrid>
      <w:tr w:rsidR="004C4DB6" w14:paraId="3E2E607B" w14:textId="77777777" w:rsidTr="00E220A4">
        <w:tc>
          <w:tcPr>
            <w:tcW w:w="2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E6434" w14:textId="77777777" w:rsidR="004C4DB6" w:rsidRDefault="004C4DB6" w:rsidP="00DD56F9">
            <w:pPr>
              <w:spacing w:line="360" w:lineRule="auto"/>
              <w:jc w:val="both"/>
              <w:rPr>
                <w:lang w:eastAsia="lt-LT"/>
              </w:rPr>
            </w:pPr>
            <w:r>
              <w:t>2019-2020 m. m.</w:t>
            </w:r>
          </w:p>
        </w:tc>
        <w:tc>
          <w:tcPr>
            <w:tcW w:w="2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70745" w14:textId="77777777" w:rsidR="004C4DB6" w:rsidRDefault="004C4DB6" w:rsidP="00DD56F9">
            <w:pPr>
              <w:spacing w:line="360" w:lineRule="auto"/>
              <w:jc w:val="both"/>
            </w:pPr>
            <w:r>
              <w:rPr>
                <w:lang w:val="en-US"/>
              </w:rPr>
              <w:t>2020-2021 m. m.</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7E9697" w14:textId="77777777" w:rsidR="004C4DB6" w:rsidRDefault="004C4DB6" w:rsidP="00DD56F9">
            <w:pPr>
              <w:spacing w:line="360" w:lineRule="auto"/>
              <w:jc w:val="both"/>
            </w:pPr>
            <w:r>
              <w:t xml:space="preserve">2021-2022 m. m. </w:t>
            </w:r>
          </w:p>
        </w:tc>
        <w:tc>
          <w:tcPr>
            <w:tcW w:w="2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4055B" w14:textId="77777777" w:rsidR="004C4DB6" w:rsidRDefault="004C4DB6" w:rsidP="00DD56F9">
            <w:pPr>
              <w:spacing w:line="360" w:lineRule="auto"/>
              <w:jc w:val="both"/>
            </w:pPr>
            <w:r>
              <w:t>2022-2023 m. m.</w:t>
            </w:r>
          </w:p>
        </w:tc>
      </w:tr>
      <w:tr w:rsidR="004C4DB6" w14:paraId="2F916DC6" w14:textId="77777777" w:rsidTr="00E220A4">
        <w:tc>
          <w:tcPr>
            <w:tcW w:w="2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2228" w14:textId="77777777" w:rsidR="004C4DB6" w:rsidRDefault="004C4DB6" w:rsidP="00DD56F9">
            <w:pPr>
              <w:spacing w:line="276" w:lineRule="auto"/>
              <w:jc w:val="both"/>
            </w:pPr>
            <w:r>
              <w:t xml:space="preserve">66 mok. </w:t>
            </w:r>
          </w:p>
          <w:p w14:paraId="48831958" w14:textId="77777777" w:rsidR="004C4DB6" w:rsidRDefault="004C4DB6" w:rsidP="00DD56F9">
            <w:pPr>
              <w:spacing w:line="276" w:lineRule="auto"/>
              <w:jc w:val="both"/>
            </w:pPr>
            <w:r>
              <w:t>(išvykę į užsienį)</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8702360" w14:textId="77777777" w:rsidR="004C4DB6" w:rsidRDefault="004C4DB6" w:rsidP="00DD56F9">
            <w:pPr>
              <w:spacing w:line="276" w:lineRule="auto"/>
              <w:jc w:val="both"/>
            </w:pPr>
            <w:r>
              <w:t xml:space="preserve">60 mok. </w:t>
            </w:r>
          </w:p>
          <w:p w14:paraId="310A14FC" w14:textId="77777777" w:rsidR="004C4DB6" w:rsidRDefault="004C4DB6" w:rsidP="00DD56F9">
            <w:pPr>
              <w:spacing w:line="276" w:lineRule="auto"/>
              <w:jc w:val="both"/>
              <w:rPr>
                <w:lang w:val="en-US"/>
              </w:rPr>
            </w:pPr>
            <w:r>
              <w:t>(išvykę į užsienį)</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AD3CBBB" w14:textId="77777777" w:rsidR="004C4DB6" w:rsidRDefault="004C4DB6" w:rsidP="00DD56F9">
            <w:pPr>
              <w:spacing w:line="276" w:lineRule="auto"/>
              <w:jc w:val="both"/>
            </w:pPr>
            <w:r>
              <w:t xml:space="preserve">47 mok. </w:t>
            </w:r>
          </w:p>
          <w:p w14:paraId="5A3BAA03" w14:textId="77777777" w:rsidR="004C4DB6" w:rsidRDefault="004C4DB6" w:rsidP="00DD56F9">
            <w:pPr>
              <w:spacing w:line="276" w:lineRule="auto"/>
              <w:jc w:val="both"/>
              <w:rPr>
                <w:lang w:val="en-US"/>
              </w:rPr>
            </w:pPr>
            <w:r>
              <w:t>(išvykę į užsienį)</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3DF61047" w14:textId="77777777" w:rsidR="004C4DB6" w:rsidRDefault="004C4DB6" w:rsidP="00DD56F9">
            <w:pPr>
              <w:spacing w:line="276" w:lineRule="auto"/>
              <w:jc w:val="both"/>
            </w:pPr>
            <w:r>
              <w:t xml:space="preserve">44 mok. </w:t>
            </w:r>
          </w:p>
          <w:p w14:paraId="23DB4FCF" w14:textId="77777777" w:rsidR="004C4DB6" w:rsidRDefault="004C4DB6" w:rsidP="00DD56F9">
            <w:pPr>
              <w:spacing w:line="276" w:lineRule="auto"/>
              <w:jc w:val="both"/>
            </w:pPr>
            <w:r>
              <w:t>(išvykę į užsienį)</w:t>
            </w:r>
          </w:p>
        </w:tc>
      </w:tr>
      <w:tr w:rsidR="004C4DB6" w14:paraId="281B6B70" w14:textId="77777777" w:rsidTr="00E220A4">
        <w:tc>
          <w:tcPr>
            <w:tcW w:w="2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19E5" w14:textId="77777777" w:rsidR="004C4DB6" w:rsidRDefault="004C4DB6" w:rsidP="00DD56F9">
            <w:pPr>
              <w:spacing w:line="360" w:lineRule="auto"/>
              <w:jc w:val="both"/>
              <w:rPr>
                <w:lang w:val="en-US"/>
              </w:rPr>
            </w:pPr>
            <w:r>
              <w:rPr>
                <w:lang w:val="en-US"/>
              </w:rPr>
              <w:t xml:space="preserve">4,6 proc. </w:t>
            </w:r>
            <w:r>
              <w:t>(-</w:t>
            </w:r>
            <w:r>
              <w:rPr>
                <w:lang w:val="en-US"/>
              </w:rPr>
              <w:t>0,1)</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524765A5" w14:textId="77777777" w:rsidR="004C4DB6" w:rsidRDefault="004C4DB6" w:rsidP="00DD56F9">
            <w:pPr>
              <w:spacing w:line="360" w:lineRule="auto"/>
              <w:jc w:val="both"/>
              <w:rPr>
                <w:lang w:val="en-US"/>
              </w:rPr>
            </w:pPr>
            <w:r>
              <w:rPr>
                <w:lang w:val="en-US"/>
              </w:rPr>
              <w:t>3,7 proc. (-0,9)</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81343BC" w14:textId="77777777" w:rsidR="004C4DB6" w:rsidRDefault="004C4DB6" w:rsidP="00DD56F9">
            <w:pPr>
              <w:spacing w:line="360" w:lineRule="auto"/>
              <w:jc w:val="both"/>
              <w:rPr>
                <w:lang w:val="en-US"/>
              </w:rPr>
            </w:pPr>
            <w:r>
              <w:rPr>
                <w:lang w:val="en-US"/>
              </w:rPr>
              <w:t>3,4 proc. (-0,3)</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361A4024" w14:textId="77777777" w:rsidR="004C4DB6" w:rsidRDefault="004C4DB6" w:rsidP="00DD56F9">
            <w:pPr>
              <w:spacing w:line="360" w:lineRule="auto"/>
              <w:jc w:val="both"/>
              <w:rPr>
                <w:lang w:val="en-US"/>
              </w:rPr>
            </w:pPr>
            <w:r>
              <w:rPr>
                <w:lang w:val="en-US"/>
              </w:rPr>
              <w:t>3,3 proc. (-0,1)</w:t>
            </w:r>
          </w:p>
        </w:tc>
      </w:tr>
    </w:tbl>
    <w:p w14:paraId="3EF570AB" w14:textId="77777777" w:rsidR="004C4DB6" w:rsidRDefault="004C4DB6" w:rsidP="00DD56F9">
      <w:pPr>
        <w:jc w:val="both"/>
        <w:rPr>
          <w:rFonts w:ascii="Verdana" w:hAnsi="Verdana"/>
          <w:sz w:val="18"/>
          <w:szCs w:val="18"/>
        </w:rPr>
      </w:pPr>
    </w:p>
    <w:p w14:paraId="3EE2CCBB" w14:textId="77777777" w:rsidR="00E220A4" w:rsidRPr="00AA4CE0" w:rsidRDefault="00E220A4" w:rsidP="00DD56F9">
      <w:pPr>
        <w:spacing w:line="360" w:lineRule="auto"/>
        <w:jc w:val="both"/>
        <w:rPr>
          <w:b/>
        </w:rPr>
      </w:pPr>
      <w:r w:rsidRPr="00AA4CE0">
        <w:rPr>
          <w:b/>
        </w:rPr>
        <w:t>Mokinių mokymosi pasiekimai</w:t>
      </w:r>
    </w:p>
    <w:p w14:paraId="1DD4E539" w14:textId="3DD51B98" w:rsidR="00E220A4" w:rsidRPr="00AA4CE0" w:rsidRDefault="004D16E7" w:rsidP="004D16E7">
      <w:pPr>
        <w:pStyle w:val="Sraopastraipa"/>
        <w:spacing w:line="360" w:lineRule="auto"/>
        <w:ind w:left="0"/>
        <w:jc w:val="both"/>
      </w:pPr>
      <w:r>
        <w:t xml:space="preserve">      </w:t>
      </w:r>
      <w:r w:rsidR="00E220A4" w:rsidRPr="00AA4CE0">
        <w:t>202</w:t>
      </w:r>
      <w:r w:rsidR="00922423">
        <w:t>3</w:t>
      </w:r>
      <w:r w:rsidR="00E220A4" w:rsidRPr="00AA4CE0">
        <w:t xml:space="preserve"> m. brandos egzaminų sesija buvo organizuota 1</w:t>
      </w:r>
      <w:r w:rsidR="00922423">
        <w:t>0</w:t>
      </w:r>
      <w:r w:rsidR="00E220A4" w:rsidRPr="00AA4CE0">
        <w:t>4 rajono bendrojo ugdymo mokyklų ir  Aukštaitijos profesinio rengimo centro abiturientams, eksternams bei buvusiems mokiniams. Lietuvių kalbos (gimtosios) pagrindinio ugdymo pasiekimų patikrinimas organizuotas , matematikos pagrindinio ugdymo pasiekimų patikrinimas - 1</w:t>
      </w:r>
      <w:r w:rsidR="00E00E6E">
        <w:t>12</w:t>
      </w:r>
      <w:r w:rsidR="00E220A4" w:rsidRPr="00AA4CE0">
        <w:t xml:space="preserve">  dešimtų ir II </w:t>
      </w:r>
      <w:proofErr w:type="spellStart"/>
      <w:r w:rsidR="00E220A4" w:rsidRPr="00AA4CE0">
        <w:t>gimnazijinių</w:t>
      </w:r>
      <w:proofErr w:type="spellEnd"/>
      <w:r w:rsidR="00E220A4" w:rsidRPr="00AA4CE0">
        <w:t xml:space="preserve"> klasių mokinių.</w:t>
      </w:r>
    </w:p>
    <w:p w14:paraId="0B6A7388" w14:textId="027E9FDC" w:rsidR="00E220A4" w:rsidRDefault="004D16E7" w:rsidP="004D16E7">
      <w:pPr>
        <w:pStyle w:val="Sraopastraipa"/>
        <w:spacing w:line="360" w:lineRule="auto"/>
        <w:ind w:left="0"/>
        <w:jc w:val="both"/>
      </w:pPr>
      <w:r>
        <w:t xml:space="preserve">    </w:t>
      </w:r>
      <w:r w:rsidR="00E220A4" w:rsidRPr="00AA4CE0">
        <w:t>Koordinuojant ir organizuojant brandos egzaminų pagrindinę ir pakartotinę sesijas buvo</w:t>
      </w:r>
      <w:r w:rsidR="006D4956">
        <w:t xml:space="preserve"> laiku</w:t>
      </w:r>
      <w:r w:rsidR="00E220A4" w:rsidRPr="00AA4CE0">
        <w:t xml:space="preserve"> parengti </w:t>
      </w:r>
      <w:r w:rsidR="006D4956">
        <w:t>S</w:t>
      </w:r>
      <w:r w:rsidR="00E220A4" w:rsidRPr="00AA4CE0">
        <w:t xml:space="preserve">avivaldybės administracijos direktoriaus įsakymai bei </w:t>
      </w:r>
      <w:r w:rsidR="006D4956">
        <w:t>S</w:t>
      </w:r>
      <w:r w:rsidR="00E220A4" w:rsidRPr="00AA4CE0">
        <w:t xml:space="preserve">avivaldybės administracijos kultūros ir švietimo skyriaus vedėjo įsakymų projektai. Buvo vykdoma </w:t>
      </w:r>
      <w:r w:rsidR="00E220A4">
        <w:t>ugdymo pasiekimų patikrinimo</w:t>
      </w:r>
      <w:r w:rsidR="00E220A4" w:rsidRPr="00AA4CE0">
        <w:t xml:space="preserve"> organizavimo ir vykdymo priežiūra. Pagrindinė bei pakartotinė brandos egzaminų sesijos</w:t>
      </w:r>
      <w:r w:rsidR="00E220A4">
        <w:t>, pagrindinio ugdymo pasiekimų patikrinimas, nacionalinio mokinių pasiekimų patikrinimas</w:t>
      </w:r>
      <w:r w:rsidR="00E220A4" w:rsidRPr="00AA4CE0">
        <w:t xml:space="preserve"> praėjo sklandžiai ir be pažeidimų.</w:t>
      </w:r>
    </w:p>
    <w:p w14:paraId="317C6142" w14:textId="479F17A8" w:rsidR="00730ACA" w:rsidRPr="00730ACA" w:rsidRDefault="00730ACA" w:rsidP="004D16E7">
      <w:pPr>
        <w:shd w:val="clear" w:color="auto" w:fill="FFFFFF"/>
        <w:tabs>
          <w:tab w:val="left" w:pos="567"/>
        </w:tabs>
        <w:spacing w:before="300" w:after="300" w:line="360" w:lineRule="auto"/>
        <w:jc w:val="both"/>
        <w:rPr>
          <w:rFonts w:eastAsia="Times New Roman" w:cs="Times New Roman"/>
          <w:szCs w:val="24"/>
          <w:lang w:eastAsia="lt-LT"/>
        </w:rPr>
      </w:pPr>
      <w:r>
        <w:rPr>
          <w:rFonts w:eastAsia="Times New Roman" w:cs="Times New Roman"/>
          <w:color w:val="253856"/>
          <w:szCs w:val="24"/>
          <w:lang w:eastAsia="lt-LT"/>
        </w:rPr>
        <w:tab/>
      </w:r>
      <w:r w:rsidRPr="00730ACA">
        <w:rPr>
          <w:rFonts w:eastAsia="Times New Roman" w:cs="Times New Roman"/>
          <w:szCs w:val="24"/>
          <w:lang w:eastAsia="lt-LT"/>
        </w:rPr>
        <w:t xml:space="preserve">Pagal pasirinktus mokomųjų dalykų egzaminus 2023 m. mūsų rajono savivaldybės abiturientams geriausiai sekėsi laikyti </w:t>
      </w:r>
      <w:bookmarkStart w:id="0" w:name="_Hlk140233553"/>
      <w:r w:rsidRPr="00730ACA">
        <w:rPr>
          <w:rFonts w:eastAsia="Times New Roman" w:cs="Times New Roman"/>
          <w:szCs w:val="24"/>
          <w:lang w:eastAsia="lt-LT"/>
        </w:rPr>
        <w:t>biologijos (egzamino rezultatų vidurkis savivaldybėje 69,9, šalyje - 49,14</w:t>
      </w:r>
      <w:bookmarkEnd w:id="0"/>
      <w:r w:rsidRPr="00730ACA">
        <w:rPr>
          <w:rFonts w:eastAsia="Times New Roman" w:cs="Times New Roman"/>
          <w:szCs w:val="24"/>
          <w:lang w:eastAsia="lt-LT"/>
        </w:rPr>
        <w:t>); anglų kalbos (vidurkis savivaldybėje 68,45, šalyje – 63,47); informacinių technologijų (vidurkis savivaldybėje 65,55 šalyje – 40,24)  valstybinius brandos egzaminus. Pažymėtina, kad šių dalykų 86-100 balų įvertinimus gavusių mokinių dalis yra ženkliai didesnė nei vidutiniškai šalyje. Biologijos - 45,17 proc., kai šalyje 11,42 proc., anglų kalbos – 35,23, kai šalyje 26,53, informacinių technologijų – 36,36, kai šalyje 14,29. Nudžiugino ir gausus „šimtukų derlius“. Anglų kalbos valstybinio brandos egzamino aukščiausią įvertinimą gavo 6 abiturientai, informacinių technologijų – 2 abiturientai, biologijos – 1 abiturientas. Pažymėtina, kad šiuos egzaminus išlaikė visi abiturientai.</w:t>
      </w:r>
    </w:p>
    <w:p w14:paraId="0BABE457" w14:textId="5EA8601E" w:rsidR="00730ACA" w:rsidRPr="00730ACA" w:rsidRDefault="004D16E7" w:rsidP="00DD56F9">
      <w:pPr>
        <w:shd w:val="clear" w:color="auto" w:fill="FFFFFF"/>
        <w:tabs>
          <w:tab w:val="left" w:pos="567"/>
        </w:tabs>
        <w:spacing w:before="300" w:after="300" w:line="360" w:lineRule="auto"/>
        <w:jc w:val="both"/>
        <w:rPr>
          <w:rFonts w:eastAsia="Times New Roman" w:cs="Times New Roman"/>
          <w:szCs w:val="24"/>
          <w:lang w:eastAsia="lt-LT"/>
        </w:rPr>
      </w:pPr>
      <w:bookmarkStart w:id="1" w:name="_Hlk140233247"/>
      <w:r>
        <w:rPr>
          <w:rFonts w:eastAsia="Times New Roman" w:cs="Times New Roman"/>
          <w:szCs w:val="24"/>
          <w:lang w:eastAsia="lt-LT"/>
        </w:rPr>
        <w:t xml:space="preserve">       </w:t>
      </w:r>
      <w:r w:rsidR="00730ACA" w:rsidRPr="00730ACA">
        <w:rPr>
          <w:rFonts w:eastAsia="Times New Roman" w:cs="Times New Roman"/>
          <w:szCs w:val="24"/>
          <w:lang w:eastAsia="lt-LT"/>
        </w:rPr>
        <w:t xml:space="preserve">Matematikos valstybinio brandos egzamino neišlaikiusiųjų dalis </w:t>
      </w:r>
      <w:bookmarkEnd w:id="1"/>
      <w:r w:rsidR="00730ACA" w:rsidRPr="00730ACA">
        <w:rPr>
          <w:rFonts w:eastAsia="Times New Roman" w:cs="Times New Roman"/>
          <w:szCs w:val="24"/>
          <w:lang w:eastAsia="lt-LT"/>
        </w:rPr>
        <w:t xml:space="preserve">šiemet du su puse karto mažesnė nei praeitais metais. Ji sudaro 15,38 proc. ir beveik atitinka šalies vidurkį. Nudžiugino trys abiturientai, kurių darbai buvo įvertinti 100 balų. Lyginant su praeitais metais, abiturientų, gavusių matematikos valstybinio brandos egzamino įvertinimus 86-100 </w:t>
      </w:r>
      <w:r w:rsidR="00730ACA" w:rsidRPr="005D2031">
        <w:rPr>
          <w:rFonts w:eastAsia="Times New Roman" w:cs="Times New Roman"/>
          <w:szCs w:val="24"/>
          <w:lang w:eastAsia="lt-LT"/>
        </w:rPr>
        <w:t>balų,</w:t>
      </w:r>
      <w:r w:rsidR="009D627A">
        <w:rPr>
          <w:rFonts w:eastAsia="Times New Roman" w:cs="Times New Roman"/>
          <w:szCs w:val="24"/>
          <w:lang w:eastAsia="lt-LT"/>
        </w:rPr>
        <w:t xml:space="preserve"> </w:t>
      </w:r>
      <w:r w:rsidR="00730ACA" w:rsidRPr="00730ACA">
        <w:rPr>
          <w:rFonts w:eastAsia="Times New Roman" w:cs="Times New Roman"/>
          <w:szCs w:val="24"/>
          <w:lang w:eastAsia="lt-LT"/>
        </w:rPr>
        <w:t>dalis padidėjo nuo 1,41 iki 6,41 proc. Matematikos rezultato vidurkis beveik atitiko šalies vidurkį.</w:t>
      </w:r>
    </w:p>
    <w:p w14:paraId="5C639C65" w14:textId="2A161E3B" w:rsidR="00730ACA" w:rsidRPr="00730ACA" w:rsidRDefault="004D16E7" w:rsidP="00DD56F9">
      <w:pPr>
        <w:shd w:val="clear" w:color="auto" w:fill="FFFFFF"/>
        <w:tabs>
          <w:tab w:val="left" w:pos="567"/>
        </w:tabs>
        <w:spacing w:before="300" w:after="300" w:line="360" w:lineRule="auto"/>
        <w:jc w:val="both"/>
        <w:rPr>
          <w:rFonts w:eastAsia="Times New Roman" w:cs="Times New Roman"/>
          <w:szCs w:val="24"/>
          <w:lang w:eastAsia="lt-LT"/>
        </w:rPr>
      </w:pPr>
      <w:r>
        <w:rPr>
          <w:rFonts w:eastAsia="Times New Roman" w:cs="Times New Roman"/>
          <w:szCs w:val="24"/>
          <w:lang w:eastAsia="lt-LT"/>
        </w:rPr>
        <w:t xml:space="preserve">       </w:t>
      </w:r>
      <w:r w:rsidR="00730ACA" w:rsidRPr="00730ACA">
        <w:rPr>
          <w:rFonts w:eastAsia="Times New Roman" w:cs="Times New Roman"/>
          <w:szCs w:val="24"/>
          <w:lang w:eastAsia="lt-LT"/>
        </w:rPr>
        <w:t>Lietuvių kalbos ir literatūros valstybinio brandos egzamino neišlaikiusiųjų dalis mūsų rajono savivaldybėje sudaro 13,33 proc., o šalyje-7,07</w:t>
      </w:r>
      <w:bookmarkStart w:id="2" w:name="_Hlk140233860"/>
      <w:r w:rsidR="00730ACA" w:rsidRPr="00730ACA">
        <w:rPr>
          <w:rFonts w:eastAsia="Times New Roman" w:cs="Times New Roman"/>
          <w:szCs w:val="24"/>
          <w:lang w:eastAsia="lt-LT"/>
        </w:rPr>
        <w:t xml:space="preserve">. Egzamino rezultatų vidurkis savivaldybėje 42,53, šalyje - 49,02. </w:t>
      </w:r>
      <w:bookmarkEnd w:id="2"/>
      <w:r w:rsidR="00730ACA" w:rsidRPr="00730ACA">
        <w:rPr>
          <w:rFonts w:eastAsia="Times New Roman" w:cs="Times New Roman"/>
          <w:szCs w:val="24"/>
          <w:lang w:eastAsia="lt-LT"/>
        </w:rPr>
        <w:t>Tačiau 2 mokiniai gavo 100 balų įvertinimus.</w:t>
      </w:r>
    </w:p>
    <w:p w14:paraId="7473B0C5" w14:textId="1A8BFB9B" w:rsidR="00730ACA" w:rsidRPr="00730ACA" w:rsidRDefault="004D16E7" w:rsidP="00DD56F9">
      <w:pPr>
        <w:shd w:val="clear" w:color="auto" w:fill="FFFFFF"/>
        <w:tabs>
          <w:tab w:val="left" w:pos="567"/>
        </w:tabs>
        <w:spacing w:before="300" w:after="300" w:line="360" w:lineRule="auto"/>
        <w:jc w:val="both"/>
        <w:rPr>
          <w:rFonts w:eastAsia="Times New Roman" w:cs="Times New Roman"/>
          <w:szCs w:val="24"/>
          <w:lang w:eastAsia="lt-LT"/>
        </w:rPr>
      </w:pPr>
      <w:r>
        <w:rPr>
          <w:rFonts w:eastAsia="Times New Roman" w:cs="Times New Roman"/>
          <w:szCs w:val="24"/>
          <w:lang w:eastAsia="lt-LT"/>
        </w:rPr>
        <w:t xml:space="preserve">        </w:t>
      </w:r>
      <w:r w:rsidR="00730ACA" w:rsidRPr="00730ACA">
        <w:rPr>
          <w:rFonts w:eastAsia="Times New Roman" w:cs="Times New Roman"/>
          <w:szCs w:val="24"/>
          <w:lang w:eastAsia="lt-LT"/>
        </w:rPr>
        <w:t xml:space="preserve">Geografijos, istorijos, chemijos, rusų kalbos valstybinius brandos egzaminus išlaikė visi mūsų </w:t>
      </w:r>
      <w:r>
        <w:rPr>
          <w:rFonts w:eastAsia="Times New Roman" w:cs="Times New Roman"/>
          <w:szCs w:val="24"/>
          <w:lang w:eastAsia="lt-LT"/>
        </w:rPr>
        <w:t xml:space="preserve">  </w:t>
      </w:r>
      <w:r w:rsidR="00730ACA" w:rsidRPr="00730ACA">
        <w:rPr>
          <w:rFonts w:eastAsia="Times New Roman" w:cs="Times New Roman"/>
          <w:szCs w:val="24"/>
          <w:lang w:eastAsia="lt-LT"/>
        </w:rPr>
        <w:t>abiturientai. Šių egzaminų rezultato vidurkiai beveik atitinka šalies vidurkius.</w:t>
      </w:r>
    </w:p>
    <w:p w14:paraId="15516CDB" w14:textId="286DF4F8" w:rsidR="00730ACA" w:rsidRPr="00730ACA" w:rsidRDefault="004D16E7" w:rsidP="00DD56F9">
      <w:pPr>
        <w:shd w:val="clear" w:color="auto" w:fill="FFFFFF"/>
        <w:tabs>
          <w:tab w:val="left" w:pos="567"/>
        </w:tabs>
        <w:spacing w:before="300" w:after="300" w:line="360" w:lineRule="auto"/>
        <w:jc w:val="both"/>
        <w:rPr>
          <w:rFonts w:eastAsia="Times New Roman" w:cs="Times New Roman"/>
          <w:szCs w:val="24"/>
          <w:lang w:eastAsia="lt-LT"/>
        </w:rPr>
      </w:pPr>
      <w:r>
        <w:rPr>
          <w:rFonts w:eastAsia="Times New Roman" w:cs="Times New Roman"/>
          <w:szCs w:val="24"/>
          <w:lang w:eastAsia="lt-LT"/>
        </w:rPr>
        <w:t xml:space="preserve">        </w:t>
      </w:r>
      <w:r w:rsidR="00730ACA" w:rsidRPr="00730ACA">
        <w:rPr>
          <w:rFonts w:eastAsia="Times New Roman" w:cs="Times New Roman"/>
          <w:szCs w:val="24"/>
          <w:lang w:eastAsia="lt-LT"/>
        </w:rPr>
        <w:t>Fizikos valstybinio brandos egzaminą rinkosi 10 abiturientų. Vienas abiturientas jo neišlaik</w:t>
      </w:r>
      <w:r w:rsidR="00730ACA" w:rsidRPr="005D2031">
        <w:rPr>
          <w:rFonts w:eastAsia="Times New Roman" w:cs="Times New Roman"/>
          <w:szCs w:val="24"/>
          <w:lang w:eastAsia="lt-LT"/>
        </w:rPr>
        <w:t>ė.</w:t>
      </w:r>
      <w:r w:rsidR="00730ACA" w:rsidRPr="00730ACA">
        <w:rPr>
          <w:rFonts w:eastAsia="Times New Roman" w:cs="Times New Roman"/>
          <w:szCs w:val="24"/>
          <w:lang w:eastAsia="lt-LT"/>
        </w:rPr>
        <w:t xml:space="preserve"> Egzamino rezultatų vidurkis savivaldybėje 34,5, šalyje - 47,47. Daugiau kaip 85 balus gavo tik vienas mokinys. Todėl šio egzamino rezultatas nenudžiugino.</w:t>
      </w:r>
    </w:p>
    <w:p w14:paraId="6FC9C7A0" w14:textId="77777777" w:rsidR="00730ACA" w:rsidRPr="00730ACA" w:rsidRDefault="00730ACA" w:rsidP="00DD56F9">
      <w:pPr>
        <w:shd w:val="clear" w:color="auto" w:fill="FFFFFF"/>
        <w:tabs>
          <w:tab w:val="left" w:pos="567"/>
        </w:tabs>
        <w:spacing w:before="300" w:after="300" w:line="360" w:lineRule="auto"/>
        <w:jc w:val="both"/>
        <w:rPr>
          <w:rFonts w:eastAsia="Times New Roman" w:cs="Times New Roman"/>
          <w:szCs w:val="24"/>
          <w:lang w:eastAsia="lt-LT"/>
        </w:rPr>
      </w:pPr>
      <w:r w:rsidRPr="00730ACA">
        <w:rPr>
          <w:rFonts w:eastAsia="Times New Roman" w:cs="Times New Roman"/>
          <w:szCs w:val="24"/>
          <w:lang w:eastAsia="lt-LT"/>
        </w:rPr>
        <w:t>Apibendrinant galima  pasakyti, kad šios abiturientų laidos  brandos egzaminai praėjo sklandžiai, rezultatai yra geri ir vainikuoja sutelktą mokytojų, mokinių ir visos švietimo bendruomenės  darbą.</w:t>
      </w:r>
    </w:p>
    <w:p w14:paraId="2AFC3C90" w14:textId="77777777" w:rsidR="00730ACA" w:rsidRPr="005614F7" w:rsidRDefault="00730ACA" w:rsidP="00DD56F9">
      <w:pPr>
        <w:shd w:val="clear" w:color="auto" w:fill="FFFFFF"/>
        <w:tabs>
          <w:tab w:val="left" w:pos="567"/>
        </w:tabs>
        <w:spacing w:before="300" w:after="300" w:line="240" w:lineRule="auto"/>
        <w:jc w:val="both"/>
        <w:rPr>
          <w:rFonts w:cs="Times New Roman"/>
        </w:rPr>
      </w:pPr>
      <w:r>
        <w:rPr>
          <w:rFonts w:eastAsia="Times New Roman" w:cs="Times New Roman"/>
          <w:color w:val="253856"/>
          <w:szCs w:val="24"/>
          <w:lang w:eastAsia="lt-LT"/>
        </w:rPr>
        <w:tab/>
      </w:r>
    </w:p>
    <w:p w14:paraId="7410543B" w14:textId="77777777" w:rsidR="00730ACA" w:rsidRDefault="00730ACA" w:rsidP="00DD56F9">
      <w:pPr>
        <w:pStyle w:val="Sraopastraipa"/>
        <w:spacing w:line="360" w:lineRule="auto"/>
        <w:ind w:left="0" w:firstLine="578"/>
        <w:jc w:val="both"/>
      </w:pPr>
    </w:p>
    <w:p w14:paraId="5A3C3A7A" w14:textId="77777777" w:rsidR="00E220A4" w:rsidRDefault="00E220A4" w:rsidP="00DD56F9">
      <w:pPr>
        <w:pStyle w:val="Sraopastraipa"/>
        <w:spacing w:line="360" w:lineRule="auto"/>
        <w:jc w:val="both"/>
        <w:rPr>
          <w:b/>
        </w:rPr>
      </w:pPr>
    </w:p>
    <w:p w14:paraId="4CAF3540" w14:textId="77777777" w:rsidR="004D16E7" w:rsidRDefault="004D16E7" w:rsidP="00DD56F9">
      <w:pPr>
        <w:pStyle w:val="Sraopastraipa"/>
        <w:spacing w:line="360" w:lineRule="auto"/>
        <w:ind w:firstLine="698"/>
        <w:jc w:val="both"/>
      </w:pPr>
    </w:p>
    <w:p w14:paraId="6504A79E" w14:textId="77777777" w:rsidR="004D16E7" w:rsidRDefault="004D16E7" w:rsidP="00DD56F9">
      <w:pPr>
        <w:pStyle w:val="Sraopastraipa"/>
        <w:spacing w:line="360" w:lineRule="auto"/>
        <w:ind w:firstLine="698"/>
        <w:jc w:val="both"/>
      </w:pPr>
    </w:p>
    <w:p w14:paraId="5E9669E6" w14:textId="789AC857" w:rsidR="00A00670" w:rsidRPr="00AA4CE0" w:rsidRDefault="00A00670" w:rsidP="00DD56F9">
      <w:pPr>
        <w:pStyle w:val="Sraopastraipa"/>
        <w:spacing w:line="360" w:lineRule="auto"/>
        <w:ind w:firstLine="698"/>
        <w:jc w:val="both"/>
      </w:pPr>
      <w:r w:rsidRPr="00AA4CE0">
        <w:t>Apibendrintų savivaldybės pavaldumo mokyklų 202</w:t>
      </w:r>
      <w:r>
        <w:t>3</w:t>
      </w:r>
      <w:r w:rsidRPr="00AA4CE0">
        <w:t xml:space="preserve"> m. valstybinių brandos egzaminų rezultatų palyginimas su šalies rezultatais, naudojant standartizuotus taškus</w:t>
      </w:r>
    </w:p>
    <w:p w14:paraId="539C4D69" w14:textId="26BCDCCA" w:rsidR="00E220A4" w:rsidRPr="00AA4CE0" w:rsidRDefault="00215255" w:rsidP="00DD56F9">
      <w:pPr>
        <w:pStyle w:val="Sraopastraipa"/>
        <w:spacing w:line="360" w:lineRule="auto"/>
        <w:jc w:val="both"/>
        <w:rPr>
          <w:b/>
        </w:rPr>
      </w:pPr>
      <w:r w:rsidRPr="00215255">
        <w:rPr>
          <w:b/>
          <w:noProof/>
        </w:rPr>
        <w:drawing>
          <wp:inline distT="0" distB="0" distL="0" distR="0" wp14:anchorId="366EF651" wp14:editId="59EC5F76">
            <wp:extent cx="3915321" cy="3134162"/>
            <wp:effectExtent l="0" t="0" r="9525" b="9525"/>
            <wp:docPr id="1414540567" name="Paveikslėlis 1" descr="Paveikslėlis, kuriame yra tekstas, diagrama, apskritima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40567" name="Paveikslėlis 1" descr="Paveikslėlis, kuriame yra tekstas, diagrama, apskritimas, ekrano kopija&#10;&#10;Automatiškai sugeneruotas aprašymas"/>
                    <pic:cNvPicPr/>
                  </pic:nvPicPr>
                  <pic:blipFill>
                    <a:blip r:embed="rId7"/>
                    <a:stretch>
                      <a:fillRect/>
                    </a:stretch>
                  </pic:blipFill>
                  <pic:spPr>
                    <a:xfrm>
                      <a:off x="0" y="0"/>
                      <a:ext cx="3915321" cy="3134162"/>
                    </a:xfrm>
                    <a:prstGeom prst="rect">
                      <a:avLst/>
                    </a:prstGeom>
                  </pic:spPr>
                </pic:pic>
              </a:graphicData>
            </a:graphic>
          </wp:inline>
        </w:drawing>
      </w:r>
    </w:p>
    <w:p w14:paraId="502F8758" w14:textId="6A6F6EEE" w:rsidR="00D63959" w:rsidRPr="00750379" w:rsidRDefault="00D63959" w:rsidP="00DD56F9">
      <w:pPr>
        <w:autoSpaceDE w:val="0"/>
        <w:autoSpaceDN w:val="0"/>
        <w:adjustRightInd w:val="0"/>
        <w:jc w:val="both"/>
        <w:rPr>
          <w:rFonts w:ascii="Calibri" w:hAnsi="Calibri" w:cs="Calibri"/>
        </w:rPr>
      </w:pPr>
      <w:r w:rsidRPr="00AA4CE0">
        <w:rPr>
          <w:rFonts w:ascii="Calibri" w:hAnsi="Calibri" w:cs="Calibri"/>
          <w:sz w:val="22"/>
        </w:rPr>
        <w:t xml:space="preserve"> </w:t>
      </w:r>
      <w:r w:rsidRPr="00750379">
        <w:rPr>
          <w:rFonts w:ascii="Calibri" w:hAnsi="Calibri" w:cs="Calibri"/>
        </w:rPr>
        <w:t>Savivaldybės pavaldumo mokyklų, 202</w:t>
      </w:r>
      <w:r>
        <w:rPr>
          <w:rFonts w:ascii="Calibri" w:hAnsi="Calibri" w:cs="Calibri"/>
        </w:rPr>
        <w:t>3</w:t>
      </w:r>
      <w:r w:rsidRPr="00750379">
        <w:rPr>
          <w:rFonts w:ascii="Calibri" w:hAnsi="Calibri" w:cs="Calibri"/>
        </w:rPr>
        <w:t xml:space="preserve"> m. procentinių dalių ir vidutinių įvertinimų palyginimas su</w:t>
      </w:r>
    </w:p>
    <w:p w14:paraId="4A681F13" w14:textId="77777777" w:rsidR="00D63959" w:rsidRPr="00D10DC6" w:rsidRDefault="00D63959" w:rsidP="00DD56F9">
      <w:pPr>
        <w:pStyle w:val="Sraopastraipa"/>
        <w:spacing w:line="360" w:lineRule="auto"/>
        <w:ind w:firstLine="698"/>
        <w:jc w:val="both"/>
        <w:rPr>
          <w:rFonts w:cs="Calibri"/>
          <w:szCs w:val="24"/>
        </w:rPr>
      </w:pPr>
      <w:r w:rsidRPr="00D10DC6">
        <w:rPr>
          <w:rFonts w:cs="Calibri"/>
          <w:szCs w:val="24"/>
        </w:rPr>
        <w:t>šalies bendrojo ugdymo mokyklų rodikliais, pagal egzaminus</w:t>
      </w:r>
    </w:p>
    <w:p w14:paraId="00B249E2" w14:textId="36185461" w:rsidR="00215255" w:rsidRPr="00D10DC6" w:rsidRDefault="00215255" w:rsidP="00DD56F9">
      <w:pPr>
        <w:jc w:val="both"/>
        <w:rPr>
          <w:szCs w:val="24"/>
        </w:rPr>
      </w:pPr>
      <w:r w:rsidRPr="00D10DC6">
        <w:rPr>
          <w:noProof/>
          <w:szCs w:val="24"/>
        </w:rPr>
        <w:drawing>
          <wp:inline distT="0" distB="0" distL="0" distR="0" wp14:anchorId="5E69F071" wp14:editId="5F00AFB9">
            <wp:extent cx="5543550" cy="3971925"/>
            <wp:effectExtent l="0" t="0" r="0" b="9525"/>
            <wp:docPr id="230052023" name="Paveikslėlis 1" descr="Paveikslėlis, kuriame yra tekstas, ekrano kopija, skaičius,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52023" name="Paveikslėlis 1" descr="Paveikslėlis, kuriame yra tekstas, ekrano kopija, skaičius, Šriftas&#10;&#10;Automatiškai sugeneruotas aprašymas"/>
                    <pic:cNvPicPr/>
                  </pic:nvPicPr>
                  <pic:blipFill>
                    <a:blip r:embed="rId8"/>
                    <a:stretch>
                      <a:fillRect/>
                    </a:stretch>
                  </pic:blipFill>
                  <pic:spPr>
                    <a:xfrm>
                      <a:off x="0" y="0"/>
                      <a:ext cx="5544347" cy="3972496"/>
                    </a:xfrm>
                    <a:prstGeom prst="rect">
                      <a:avLst/>
                    </a:prstGeom>
                  </pic:spPr>
                </pic:pic>
              </a:graphicData>
            </a:graphic>
          </wp:inline>
        </w:drawing>
      </w:r>
    </w:p>
    <w:p w14:paraId="716DAD17" w14:textId="77777777" w:rsidR="00215255" w:rsidRDefault="00215255" w:rsidP="00DD56F9">
      <w:pPr>
        <w:jc w:val="both"/>
        <w:rPr>
          <w:szCs w:val="24"/>
        </w:rPr>
      </w:pPr>
    </w:p>
    <w:p w14:paraId="78C5F727" w14:textId="77777777" w:rsidR="00730ACA" w:rsidRDefault="00730ACA" w:rsidP="00DD56F9">
      <w:pPr>
        <w:jc w:val="both"/>
        <w:rPr>
          <w:szCs w:val="24"/>
        </w:rPr>
      </w:pPr>
    </w:p>
    <w:p w14:paraId="7CD10317" w14:textId="77777777" w:rsidR="00730ACA" w:rsidRDefault="00730ACA" w:rsidP="00DD56F9">
      <w:pPr>
        <w:jc w:val="both"/>
        <w:rPr>
          <w:szCs w:val="24"/>
        </w:rPr>
      </w:pPr>
    </w:p>
    <w:p w14:paraId="6E0F1C9F" w14:textId="77777777" w:rsidR="00730ACA" w:rsidRDefault="00730ACA" w:rsidP="00DD56F9">
      <w:pPr>
        <w:jc w:val="both"/>
        <w:rPr>
          <w:szCs w:val="24"/>
        </w:rPr>
      </w:pPr>
    </w:p>
    <w:p w14:paraId="620C13E4" w14:textId="77777777" w:rsidR="00730ACA" w:rsidRDefault="00730ACA" w:rsidP="00DD56F9">
      <w:pPr>
        <w:jc w:val="both"/>
        <w:rPr>
          <w:szCs w:val="24"/>
        </w:rPr>
      </w:pPr>
    </w:p>
    <w:p w14:paraId="37509AEE" w14:textId="54C9F014" w:rsidR="00375E08" w:rsidRPr="00375E08" w:rsidRDefault="00375E08" w:rsidP="00DD56F9">
      <w:pPr>
        <w:jc w:val="both"/>
        <w:rPr>
          <w:szCs w:val="24"/>
        </w:rPr>
      </w:pPr>
      <w:r w:rsidRPr="00375E08">
        <w:rPr>
          <w:szCs w:val="24"/>
        </w:rPr>
        <w:t xml:space="preserve">Molėtų r. bendrojo ugdymo mokyklų mokinių 2022m.  ir 2023 m. matematikos PUPP rezultatų palyginimas </w:t>
      </w:r>
    </w:p>
    <w:p w14:paraId="2A546033" w14:textId="77777777" w:rsidR="00375E08" w:rsidRPr="00375E08" w:rsidRDefault="00375E08" w:rsidP="00DD56F9">
      <w:pPr>
        <w:jc w:val="both"/>
        <w:rPr>
          <w:szCs w:val="24"/>
        </w:rPr>
      </w:pPr>
    </w:p>
    <w:tbl>
      <w:tblPr>
        <w:tblStyle w:val="Lentelstinklelis"/>
        <w:tblW w:w="0" w:type="auto"/>
        <w:tblLook w:val="04A0" w:firstRow="1" w:lastRow="0" w:firstColumn="1" w:lastColumn="0" w:noHBand="0" w:noVBand="1"/>
      </w:tblPr>
      <w:tblGrid>
        <w:gridCol w:w="1925"/>
        <w:gridCol w:w="1925"/>
        <w:gridCol w:w="1926"/>
        <w:gridCol w:w="1926"/>
        <w:gridCol w:w="1926"/>
      </w:tblGrid>
      <w:tr w:rsidR="00375E08" w:rsidRPr="00375E08" w14:paraId="2FA9C7B6" w14:textId="77777777" w:rsidTr="00381AA7">
        <w:tc>
          <w:tcPr>
            <w:tcW w:w="1925" w:type="dxa"/>
          </w:tcPr>
          <w:p w14:paraId="01FB3FCD" w14:textId="77777777" w:rsidR="00375E08" w:rsidRPr="00375E08" w:rsidRDefault="00375E08" w:rsidP="00DD56F9">
            <w:pPr>
              <w:jc w:val="both"/>
              <w:rPr>
                <w:szCs w:val="24"/>
              </w:rPr>
            </w:pPr>
          </w:p>
        </w:tc>
        <w:tc>
          <w:tcPr>
            <w:tcW w:w="3851" w:type="dxa"/>
            <w:gridSpan w:val="2"/>
          </w:tcPr>
          <w:p w14:paraId="1ECB4296" w14:textId="77777777" w:rsidR="00375E08" w:rsidRPr="00375E08" w:rsidRDefault="00375E08" w:rsidP="00DD56F9">
            <w:pPr>
              <w:jc w:val="both"/>
              <w:rPr>
                <w:szCs w:val="24"/>
              </w:rPr>
            </w:pPr>
            <w:r w:rsidRPr="00375E08">
              <w:rPr>
                <w:szCs w:val="24"/>
              </w:rPr>
              <w:t>2022 m.</w:t>
            </w:r>
          </w:p>
        </w:tc>
        <w:tc>
          <w:tcPr>
            <w:tcW w:w="3852" w:type="dxa"/>
            <w:gridSpan w:val="2"/>
          </w:tcPr>
          <w:p w14:paraId="76C6474A" w14:textId="77777777" w:rsidR="00375E08" w:rsidRPr="00375E08" w:rsidRDefault="00375E08" w:rsidP="00DD56F9">
            <w:pPr>
              <w:jc w:val="both"/>
              <w:rPr>
                <w:szCs w:val="24"/>
              </w:rPr>
            </w:pPr>
            <w:r w:rsidRPr="00375E08">
              <w:rPr>
                <w:szCs w:val="24"/>
              </w:rPr>
              <w:t>2023 m.</w:t>
            </w:r>
          </w:p>
        </w:tc>
      </w:tr>
      <w:tr w:rsidR="00375E08" w:rsidRPr="00375E08" w14:paraId="646808EE" w14:textId="77777777" w:rsidTr="00381AA7">
        <w:tc>
          <w:tcPr>
            <w:tcW w:w="1925" w:type="dxa"/>
          </w:tcPr>
          <w:p w14:paraId="1F5F6544" w14:textId="77777777" w:rsidR="00375E08" w:rsidRPr="00375E08" w:rsidRDefault="00375E08" w:rsidP="00DD56F9">
            <w:pPr>
              <w:jc w:val="both"/>
              <w:rPr>
                <w:szCs w:val="24"/>
              </w:rPr>
            </w:pPr>
          </w:p>
        </w:tc>
        <w:tc>
          <w:tcPr>
            <w:tcW w:w="1925" w:type="dxa"/>
          </w:tcPr>
          <w:p w14:paraId="29BC9482" w14:textId="77777777" w:rsidR="00375E08" w:rsidRPr="00375E08" w:rsidRDefault="00375E08" w:rsidP="00DD56F9">
            <w:pPr>
              <w:jc w:val="both"/>
              <w:rPr>
                <w:szCs w:val="24"/>
              </w:rPr>
            </w:pPr>
            <w:r w:rsidRPr="00375E08">
              <w:rPr>
                <w:szCs w:val="24"/>
              </w:rPr>
              <w:t>Molėtų r.</w:t>
            </w:r>
          </w:p>
        </w:tc>
        <w:tc>
          <w:tcPr>
            <w:tcW w:w="1926" w:type="dxa"/>
          </w:tcPr>
          <w:p w14:paraId="4299F88C" w14:textId="77777777" w:rsidR="00375E08" w:rsidRPr="00375E08" w:rsidRDefault="00375E08" w:rsidP="00DD56F9">
            <w:pPr>
              <w:jc w:val="both"/>
              <w:rPr>
                <w:szCs w:val="24"/>
              </w:rPr>
            </w:pPr>
            <w:r w:rsidRPr="00375E08">
              <w:rPr>
                <w:szCs w:val="24"/>
              </w:rPr>
              <w:t>Šalyje</w:t>
            </w:r>
          </w:p>
        </w:tc>
        <w:tc>
          <w:tcPr>
            <w:tcW w:w="1926" w:type="dxa"/>
          </w:tcPr>
          <w:p w14:paraId="27E0EAFA" w14:textId="77777777" w:rsidR="00375E08" w:rsidRPr="00375E08" w:rsidRDefault="00375E08" w:rsidP="00DD56F9">
            <w:pPr>
              <w:jc w:val="both"/>
              <w:rPr>
                <w:szCs w:val="24"/>
              </w:rPr>
            </w:pPr>
            <w:r w:rsidRPr="00375E08">
              <w:rPr>
                <w:szCs w:val="24"/>
              </w:rPr>
              <w:t>Molėtų r.</w:t>
            </w:r>
          </w:p>
        </w:tc>
        <w:tc>
          <w:tcPr>
            <w:tcW w:w="1926" w:type="dxa"/>
          </w:tcPr>
          <w:p w14:paraId="7AA343AC" w14:textId="77777777" w:rsidR="00375E08" w:rsidRPr="00375E08" w:rsidRDefault="00375E08" w:rsidP="00DD56F9">
            <w:pPr>
              <w:jc w:val="both"/>
              <w:rPr>
                <w:szCs w:val="24"/>
              </w:rPr>
            </w:pPr>
            <w:r w:rsidRPr="00375E08">
              <w:rPr>
                <w:szCs w:val="24"/>
              </w:rPr>
              <w:t>Šalyje</w:t>
            </w:r>
          </w:p>
        </w:tc>
      </w:tr>
      <w:tr w:rsidR="00375E08" w:rsidRPr="00375E08" w14:paraId="21E58977" w14:textId="77777777" w:rsidTr="00381AA7">
        <w:tc>
          <w:tcPr>
            <w:tcW w:w="1925" w:type="dxa"/>
          </w:tcPr>
          <w:p w14:paraId="062B7E96" w14:textId="77777777" w:rsidR="00375E08" w:rsidRPr="00375E08" w:rsidRDefault="00375E08" w:rsidP="00DD56F9">
            <w:pPr>
              <w:jc w:val="both"/>
              <w:rPr>
                <w:szCs w:val="24"/>
              </w:rPr>
            </w:pPr>
            <w:r w:rsidRPr="00375E08">
              <w:rPr>
                <w:szCs w:val="24"/>
              </w:rPr>
              <w:t>Nepasiekusiųjų patenkinamojo lygio skaičius ir dalis</w:t>
            </w:r>
          </w:p>
        </w:tc>
        <w:tc>
          <w:tcPr>
            <w:tcW w:w="1925" w:type="dxa"/>
          </w:tcPr>
          <w:p w14:paraId="4DA3F817" w14:textId="77777777" w:rsidR="00375E08" w:rsidRPr="00375E08" w:rsidRDefault="00375E08" w:rsidP="00DD56F9">
            <w:pPr>
              <w:jc w:val="both"/>
              <w:rPr>
                <w:szCs w:val="24"/>
                <w:lang w:val="en-US"/>
              </w:rPr>
            </w:pPr>
            <w:r w:rsidRPr="00375E08">
              <w:rPr>
                <w:szCs w:val="24"/>
              </w:rPr>
              <w:t>48 (38,7</w:t>
            </w:r>
            <w:r w:rsidRPr="00375E08">
              <w:rPr>
                <w:szCs w:val="24"/>
                <w:lang w:val="en-US"/>
              </w:rPr>
              <w:t>)</w:t>
            </w:r>
          </w:p>
        </w:tc>
        <w:tc>
          <w:tcPr>
            <w:tcW w:w="1926" w:type="dxa"/>
          </w:tcPr>
          <w:p w14:paraId="26715BA8" w14:textId="77777777" w:rsidR="00375E08" w:rsidRPr="00375E08" w:rsidRDefault="00375E08" w:rsidP="00DD56F9">
            <w:pPr>
              <w:jc w:val="both"/>
              <w:rPr>
                <w:szCs w:val="24"/>
              </w:rPr>
            </w:pPr>
            <w:r w:rsidRPr="00375E08">
              <w:rPr>
                <w:szCs w:val="24"/>
              </w:rPr>
              <w:t>40,2</w:t>
            </w:r>
          </w:p>
        </w:tc>
        <w:tc>
          <w:tcPr>
            <w:tcW w:w="1926" w:type="dxa"/>
          </w:tcPr>
          <w:p w14:paraId="65D5F294" w14:textId="77777777" w:rsidR="00375E08" w:rsidRPr="00375E08" w:rsidRDefault="00375E08" w:rsidP="00DD56F9">
            <w:pPr>
              <w:jc w:val="both"/>
              <w:rPr>
                <w:szCs w:val="24"/>
              </w:rPr>
            </w:pPr>
            <w:r w:rsidRPr="00375E08">
              <w:rPr>
                <w:szCs w:val="24"/>
              </w:rPr>
              <w:t>26 (23,2)</w:t>
            </w:r>
          </w:p>
        </w:tc>
        <w:tc>
          <w:tcPr>
            <w:tcW w:w="1926" w:type="dxa"/>
          </w:tcPr>
          <w:p w14:paraId="5BC7FA98" w14:textId="77777777" w:rsidR="00375E08" w:rsidRPr="00375E08" w:rsidRDefault="00375E08" w:rsidP="00DD56F9">
            <w:pPr>
              <w:jc w:val="both"/>
              <w:rPr>
                <w:szCs w:val="24"/>
              </w:rPr>
            </w:pPr>
            <w:r w:rsidRPr="00375E08">
              <w:rPr>
                <w:szCs w:val="24"/>
              </w:rPr>
              <w:t>25,9</w:t>
            </w:r>
          </w:p>
        </w:tc>
      </w:tr>
      <w:tr w:rsidR="00375E08" w:rsidRPr="00375E08" w14:paraId="64BEE2E4" w14:textId="77777777" w:rsidTr="00381AA7">
        <w:tc>
          <w:tcPr>
            <w:tcW w:w="1925" w:type="dxa"/>
          </w:tcPr>
          <w:p w14:paraId="7DD75173" w14:textId="77777777" w:rsidR="00375E08" w:rsidRPr="00375E08" w:rsidRDefault="00375E08" w:rsidP="00DD56F9">
            <w:pPr>
              <w:jc w:val="both"/>
              <w:rPr>
                <w:szCs w:val="24"/>
              </w:rPr>
            </w:pPr>
            <w:r w:rsidRPr="00375E08">
              <w:rPr>
                <w:szCs w:val="24"/>
              </w:rPr>
              <w:t>Pasiekusiųjų bent pagrindinį lygį (7-10 balų) skaičius ir  dalis</w:t>
            </w:r>
          </w:p>
        </w:tc>
        <w:tc>
          <w:tcPr>
            <w:tcW w:w="1925" w:type="dxa"/>
          </w:tcPr>
          <w:p w14:paraId="485CA3F6" w14:textId="77777777" w:rsidR="00375E08" w:rsidRPr="00375E08" w:rsidRDefault="00375E08" w:rsidP="00DD56F9">
            <w:pPr>
              <w:jc w:val="both"/>
              <w:rPr>
                <w:szCs w:val="24"/>
              </w:rPr>
            </w:pPr>
            <w:r w:rsidRPr="00375E08">
              <w:rPr>
                <w:szCs w:val="24"/>
              </w:rPr>
              <w:t>19 (15,3)</w:t>
            </w:r>
          </w:p>
        </w:tc>
        <w:tc>
          <w:tcPr>
            <w:tcW w:w="1926" w:type="dxa"/>
          </w:tcPr>
          <w:p w14:paraId="250ADF86" w14:textId="77777777" w:rsidR="00375E08" w:rsidRPr="00375E08" w:rsidRDefault="00375E08" w:rsidP="00DD56F9">
            <w:pPr>
              <w:jc w:val="both"/>
              <w:rPr>
                <w:szCs w:val="24"/>
              </w:rPr>
            </w:pPr>
            <w:r w:rsidRPr="00375E08">
              <w:rPr>
                <w:szCs w:val="24"/>
              </w:rPr>
              <w:t>15,4</w:t>
            </w:r>
          </w:p>
        </w:tc>
        <w:tc>
          <w:tcPr>
            <w:tcW w:w="1926" w:type="dxa"/>
          </w:tcPr>
          <w:p w14:paraId="2D2DD246" w14:textId="77777777" w:rsidR="00375E08" w:rsidRPr="00375E08" w:rsidRDefault="00375E08" w:rsidP="00DD56F9">
            <w:pPr>
              <w:jc w:val="both"/>
              <w:rPr>
                <w:szCs w:val="24"/>
              </w:rPr>
            </w:pPr>
            <w:r w:rsidRPr="00375E08">
              <w:rPr>
                <w:szCs w:val="24"/>
              </w:rPr>
              <w:t>32 (28,6)</w:t>
            </w:r>
          </w:p>
        </w:tc>
        <w:tc>
          <w:tcPr>
            <w:tcW w:w="1926" w:type="dxa"/>
          </w:tcPr>
          <w:p w14:paraId="51E8A2EB" w14:textId="77777777" w:rsidR="00375E08" w:rsidRPr="00375E08" w:rsidRDefault="00375E08" w:rsidP="00DD56F9">
            <w:pPr>
              <w:jc w:val="both"/>
              <w:rPr>
                <w:szCs w:val="24"/>
              </w:rPr>
            </w:pPr>
            <w:r w:rsidRPr="00375E08">
              <w:rPr>
                <w:szCs w:val="24"/>
              </w:rPr>
              <w:t>34,5</w:t>
            </w:r>
          </w:p>
        </w:tc>
      </w:tr>
      <w:tr w:rsidR="00375E08" w:rsidRPr="00375E08" w14:paraId="7EA28F5F" w14:textId="77777777" w:rsidTr="00381AA7">
        <w:tc>
          <w:tcPr>
            <w:tcW w:w="1925" w:type="dxa"/>
          </w:tcPr>
          <w:p w14:paraId="0A1336A6" w14:textId="77777777" w:rsidR="00375E08" w:rsidRPr="00375E08" w:rsidRDefault="00375E08" w:rsidP="00DD56F9">
            <w:pPr>
              <w:jc w:val="both"/>
              <w:rPr>
                <w:szCs w:val="24"/>
              </w:rPr>
            </w:pPr>
            <w:r w:rsidRPr="00375E08">
              <w:rPr>
                <w:szCs w:val="24"/>
              </w:rPr>
              <w:t>Įvertintų 9-10 balų skaičius ir dalis</w:t>
            </w:r>
          </w:p>
        </w:tc>
        <w:tc>
          <w:tcPr>
            <w:tcW w:w="1925" w:type="dxa"/>
          </w:tcPr>
          <w:p w14:paraId="1E242E69" w14:textId="77777777" w:rsidR="00375E08" w:rsidRPr="00375E08" w:rsidRDefault="00375E08" w:rsidP="00DD56F9">
            <w:pPr>
              <w:jc w:val="both"/>
              <w:rPr>
                <w:szCs w:val="24"/>
              </w:rPr>
            </w:pPr>
            <w:r w:rsidRPr="00375E08">
              <w:rPr>
                <w:szCs w:val="24"/>
              </w:rPr>
              <w:t>1 (0,8)</w:t>
            </w:r>
          </w:p>
        </w:tc>
        <w:tc>
          <w:tcPr>
            <w:tcW w:w="1926" w:type="dxa"/>
          </w:tcPr>
          <w:p w14:paraId="6D153D25" w14:textId="77777777" w:rsidR="00375E08" w:rsidRPr="00375E08" w:rsidRDefault="00375E08" w:rsidP="00DD56F9">
            <w:pPr>
              <w:jc w:val="both"/>
              <w:rPr>
                <w:szCs w:val="24"/>
              </w:rPr>
            </w:pPr>
            <w:r w:rsidRPr="00375E08">
              <w:rPr>
                <w:szCs w:val="24"/>
              </w:rPr>
              <w:t>3,8</w:t>
            </w:r>
          </w:p>
        </w:tc>
        <w:tc>
          <w:tcPr>
            <w:tcW w:w="1926" w:type="dxa"/>
          </w:tcPr>
          <w:p w14:paraId="62D7ADD3" w14:textId="77777777" w:rsidR="00375E08" w:rsidRPr="00375E08" w:rsidRDefault="00375E08" w:rsidP="00DD56F9">
            <w:pPr>
              <w:jc w:val="both"/>
              <w:rPr>
                <w:szCs w:val="24"/>
              </w:rPr>
            </w:pPr>
            <w:r w:rsidRPr="00375E08">
              <w:rPr>
                <w:szCs w:val="24"/>
              </w:rPr>
              <w:t>9 (8,0)</w:t>
            </w:r>
          </w:p>
        </w:tc>
        <w:tc>
          <w:tcPr>
            <w:tcW w:w="1926" w:type="dxa"/>
          </w:tcPr>
          <w:p w14:paraId="07345B63" w14:textId="77777777" w:rsidR="00375E08" w:rsidRPr="00375E08" w:rsidRDefault="00375E08" w:rsidP="00DD56F9">
            <w:pPr>
              <w:jc w:val="both"/>
              <w:rPr>
                <w:szCs w:val="24"/>
              </w:rPr>
            </w:pPr>
            <w:r w:rsidRPr="00375E08">
              <w:rPr>
                <w:szCs w:val="24"/>
              </w:rPr>
              <w:t>11,9</w:t>
            </w:r>
          </w:p>
        </w:tc>
      </w:tr>
    </w:tbl>
    <w:p w14:paraId="3D63285F" w14:textId="77777777" w:rsidR="00375E08" w:rsidRPr="00375E08" w:rsidRDefault="00375E08" w:rsidP="00DD56F9">
      <w:pPr>
        <w:jc w:val="both"/>
        <w:rPr>
          <w:szCs w:val="24"/>
        </w:rPr>
      </w:pPr>
    </w:p>
    <w:p w14:paraId="20109DE7" w14:textId="77777777" w:rsidR="00375E08" w:rsidRPr="00375E08" w:rsidRDefault="00375E08" w:rsidP="00DD56F9">
      <w:pPr>
        <w:spacing w:line="360" w:lineRule="auto"/>
        <w:jc w:val="both"/>
        <w:rPr>
          <w:szCs w:val="24"/>
        </w:rPr>
      </w:pPr>
      <w:r w:rsidRPr="00375E08">
        <w:rPr>
          <w:szCs w:val="24"/>
        </w:rPr>
        <w:t>2022 m. matematikos PUPP iš viso dalyvavo 124 bendrojo ugdymo mokyklų mokiniai, 2023 m. – 112.</w:t>
      </w:r>
    </w:p>
    <w:p w14:paraId="38867525" w14:textId="77777777" w:rsidR="00375E08" w:rsidRPr="00375E08" w:rsidRDefault="00375E08" w:rsidP="00DD56F9">
      <w:pPr>
        <w:spacing w:line="360" w:lineRule="auto"/>
        <w:jc w:val="both"/>
        <w:rPr>
          <w:szCs w:val="24"/>
        </w:rPr>
      </w:pPr>
      <w:r w:rsidRPr="00375E08">
        <w:rPr>
          <w:szCs w:val="24"/>
        </w:rPr>
        <w:t>Kaip visoje šalyje, taip ir Molėtų r. matematikos PUPP rezultatai geresni nei 2022 m. Sumažėjo nepasiekusiųjų patenkinamo lygio mokinių dalis, padidėjo bent pagrindinį lygį pasiekusiųjų ir labai gerais pažymiais išlaikiusiųjų dalis, nors rezultatai dar nesiekia šalies vidurkio.</w:t>
      </w:r>
    </w:p>
    <w:p w14:paraId="1948D832" w14:textId="0489FB9F" w:rsidR="00375E08" w:rsidRPr="00375E08" w:rsidRDefault="00375E08" w:rsidP="00DD56F9">
      <w:pPr>
        <w:jc w:val="both"/>
        <w:rPr>
          <w:szCs w:val="24"/>
        </w:rPr>
      </w:pPr>
      <w:r w:rsidRPr="00375E08">
        <w:rPr>
          <w:szCs w:val="24"/>
        </w:rPr>
        <w:t xml:space="preserve">Molėtų r. bendrojo ugdymo mokyklų mokinių 2022m.  ir 2023 m. lietuvių kalbos ir literatūros PUPP rezultatų palyginimas </w:t>
      </w:r>
    </w:p>
    <w:tbl>
      <w:tblPr>
        <w:tblStyle w:val="Lentelstinklelis"/>
        <w:tblW w:w="0" w:type="auto"/>
        <w:tblLook w:val="04A0" w:firstRow="1" w:lastRow="0" w:firstColumn="1" w:lastColumn="0" w:noHBand="0" w:noVBand="1"/>
      </w:tblPr>
      <w:tblGrid>
        <w:gridCol w:w="1925"/>
        <w:gridCol w:w="1925"/>
        <w:gridCol w:w="1926"/>
        <w:gridCol w:w="1926"/>
        <w:gridCol w:w="1926"/>
      </w:tblGrid>
      <w:tr w:rsidR="00375E08" w:rsidRPr="00375E08" w14:paraId="68611E1B" w14:textId="77777777" w:rsidTr="00381AA7">
        <w:tc>
          <w:tcPr>
            <w:tcW w:w="1925" w:type="dxa"/>
          </w:tcPr>
          <w:p w14:paraId="1A9AC225" w14:textId="77777777" w:rsidR="00375E08" w:rsidRPr="00375E08" w:rsidRDefault="00375E08" w:rsidP="00DD56F9">
            <w:pPr>
              <w:jc w:val="both"/>
              <w:rPr>
                <w:szCs w:val="24"/>
              </w:rPr>
            </w:pPr>
          </w:p>
        </w:tc>
        <w:tc>
          <w:tcPr>
            <w:tcW w:w="3851" w:type="dxa"/>
            <w:gridSpan w:val="2"/>
          </w:tcPr>
          <w:p w14:paraId="3E16BFF6" w14:textId="77777777" w:rsidR="00375E08" w:rsidRPr="00375E08" w:rsidRDefault="00375E08" w:rsidP="00DD56F9">
            <w:pPr>
              <w:jc w:val="both"/>
              <w:rPr>
                <w:szCs w:val="24"/>
              </w:rPr>
            </w:pPr>
            <w:r w:rsidRPr="00375E08">
              <w:rPr>
                <w:szCs w:val="24"/>
              </w:rPr>
              <w:t>2022 m.</w:t>
            </w:r>
          </w:p>
        </w:tc>
        <w:tc>
          <w:tcPr>
            <w:tcW w:w="3852" w:type="dxa"/>
            <w:gridSpan w:val="2"/>
          </w:tcPr>
          <w:p w14:paraId="09CF14E4" w14:textId="77777777" w:rsidR="00375E08" w:rsidRPr="00375E08" w:rsidRDefault="00375E08" w:rsidP="00DD56F9">
            <w:pPr>
              <w:jc w:val="both"/>
              <w:rPr>
                <w:szCs w:val="24"/>
              </w:rPr>
            </w:pPr>
            <w:r w:rsidRPr="00375E08">
              <w:rPr>
                <w:szCs w:val="24"/>
              </w:rPr>
              <w:t>2023 m.</w:t>
            </w:r>
          </w:p>
        </w:tc>
      </w:tr>
      <w:tr w:rsidR="00375E08" w:rsidRPr="00375E08" w14:paraId="48C0532D" w14:textId="77777777" w:rsidTr="00381AA7">
        <w:tc>
          <w:tcPr>
            <w:tcW w:w="1925" w:type="dxa"/>
          </w:tcPr>
          <w:p w14:paraId="70CCE33F" w14:textId="77777777" w:rsidR="00375E08" w:rsidRPr="00375E08" w:rsidRDefault="00375E08" w:rsidP="00DD56F9">
            <w:pPr>
              <w:jc w:val="both"/>
              <w:rPr>
                <w:szCs w:val="24"/>
              </w:rPr>
            </w:pPr>
          </w:p>
        </w:tc>
        <w:tc>
          <w:tcPr>
            <w:tcW w:w="1925" w:type="dxa"/>
          </w:tcPr>
          <w:p w14:paraId="7F36E83C" w14:textId="77777777" w:rsidR="00375E08" w:rsidRPr="00375E08" w:rsidRDefault="00375E08" w:rsidP="00DD56F9">
            <w:pPr>
              <w:jc w:val="both"/>
              <w:rPr>
                <w:szCs w:val="24"/>
              </w:rPr>
            </w:pPr>
            <w:r w:rsidRPr="00375E08">
              <w:rPr>
                <w:szCs w:val="24"/>
              </w:rPr>
              <w:t>Molėtų r.</w:t>
            </w:r>
          </w:p>
        </w:tc>
        <w:tc>
          <w:tcPr>
            <w:tcW w:w="1926" w:type="dxa"/>
          </w:tcPr>
          <w:p w14:paraId="78784BD7" w14:textId="77777777" w:rsidR="00375E08" w:rsidRPr="00375E08" w:rsidRDefault="00375E08" w:rsidP="00DD56F9">
            <w:pPr>
              <w:jc w:val="both"/>
              <w:rPr>
                <w:szCs w:val="24"/>
              </w:rPr>
            </w:pPr>
            <w:r w:rsidRPr="00375E08">
              <w:rPr>
                <w:szCs w:val="24"/>
              </w:rPr>
              <w:t>Šalyje</w:t>
            </w:r>
          </w:p>
        </w:tc>
        <w:tc>
          <w:tcPr>
            <w:tcW w:w="1926" w:type="dxa"/>
          </w:tcPr>
          <w:p w14:paraId="3A0275A9" w14:textId="77777777" w:rsidR="00375E08" w:rsidRPr="00375E08" w:rsidRDefault="00375E08" w:rsidP="00DD56F9">
            <w:pPr>
              <w:jc w:val="both"/>
              <w:rPr>
                <w:szCs w:val="24"/>
              </w:rPr>
            </w:pPr>
            <w:r w:rsidRPr="00375E08">
              <w:rPr>
                <w:szCs w:val="24"/>
              </w:rPr>
              <w:t>Molėtų r.</w:t>
            </w:r>
          </w:p>
        </w:tc>
        <w:tc>
          <w:tcPr>
            <w:tcW w:w="1926" w:type="dxa"/>
          </w:tcPr>
          <w:p w14:paraId="0B68A64B" w14:textId="77777777" w:rsidR="00375E08" w:rsidRPr="00375E08" w:rsidRDefault="00375E08" w:rsidP="00DD56F9">
            <w:pPr>
              <w:jc w:val="both"/>
              <w:rPr>
                <w:szCs w:val="24"/>
              </w:rPr>
            </w:pPr>
            <w:r w:rsidRPr="00375E08">
              <w:rPr>
                <w:szCs w:val="24"/>
              </w:rPr>
              <w:t>Šalyje</w:t>
            </w:r>
          </w:p>
        </w:tc>
      </w:tr>
      <w:tr w:rsidR="00375E08" w:rsidRPr="00375E08" w14:paraId="3CCD628E" w14:textId="77777777" w:rsidTr="00381AA7">
        <w:tc>
          <w:tcPr>
            <w:tcW w:w="1925" w:type="dxa"/>
          </w:tcPr>
          <w:p w14:paraId="1543CD93" w14:textId="77777777" w:rsidR="00375E08" w:rsidRPr="00375E08" w:rsidRDefault="00375E08" w:rsidP="00DD56F9">
            <w:pPr>
              <w:jc w:val="both"/>
              <w:rPr>
                <w:szCs w:val="24"/>
              </w:rPr>
            </w:pPr>
            <w:r w:rsidRPr="00375E08">
              <w:rPr>
                <w:szCs w:val="24"/>
              </w:rPr>
              <w:t>Nepasiekusiųjų patenkinamojo lygio skaičius ir dalis</w:t>
            </w:r>
          </w:p>
        </w:tc>
        <w:tc>
          <w:tcPr>
            <w:tcW w:w="1925" w:type="dxa"/>
          </w:tcPr>
          <w:p w14:paraId="65324D47" w14:textId="77777777" w:rsidR="00375E08" w:rsidRPr="00375E08" w:rsidRDefault="00375E08" w:rsidP="00DD56F9">
            <w:pPr>
              <w:jc w:val="both"/>
              <w:rPr>
                <w:szCs w:val="24"/>
                <w:lang w:val="en-US"/>
              </w:rPr>
            </w:pPr>
            <w:r w:rsidRPr="00375E08">
              <w:rPr>
                <w:szCs w:val="24"/>
                <w:lang w:val="en-US"/>
              </w:rPr>
              <w:t>5 (4,0)</w:t>
            </w:r>
          </w:p>
        </w:tc>
        <w:tc>
          <w:tcPr>
            <w:tcW w:w="1926" w:type="dxa"/>
          </w:tcPr>
          <w:p w14:paraId="55CB8491" w14:textId="77777777" w:rsidR="00375E08" w:rsidRPr="00375E08" w:rsidRDefault="00375E08" w:rsidP="00DD56F9">
            <w:pPr>
              <w:jc w:val="both"/>
              <w:rPr>
                <w:szCs w:val="24"/>
              </w:rPr>
            </w:pPr>
            <w:r w:rsidRPr="00375E08">
              <w:rPr>
                <w:szCs w:val="24"/>
              </w:rPr>
              <w:t>4,6</w:t>
            </w:r>
          </w:p>
        </w:tc>
        <w:tc>
          <w:tcPr>
            <w:tcW w:w="1926" w:type="dxa"/>
          </w:tcPr>
          <w:p w14:paraId="7BA99E77" w14:textId="77777777" w:rsidR="00375E08" w:rsidRPr="00375E08" w:rsidRDefault="00375E08" w:rsidP="00DD56F9">
            <w:pPr>
              <w:jc w:val="both"/>
              <w:rPr>
                <w:szCs w:val="24"/>
              </w:rPr>
            </w:pPr>
            <w:r w:rsidRPr="00375E08">
              <w:rPr>
                <w:szCs w:val="24"/>
              </w:rPr>
              <w:t>2 (1,8)</w:t>
            </w:r>
          </w:p>
        </w:tc>
        <w:tc>
          <w:tcPr>
            <w:tcW w:w="1926" w:type="dxa"/>
          </w:tcPr>
          <w:p w14:paraId="35313BBC" w14:textId="77777777" w:rsidR="00375E08" w:rsidRPr="00375E08" w:rsidRDefault="00375E08" w:rsidP="00DD56F9">
            <w:pPr>
              <w:jc w:val="both"/>
              <w:rPr>
                <w:szCs w:val="24"/>
              </w:rPr>
            </w:pPr>
            <w:r w:rsidRPr="00375E08">
              <w:rPr>
                <w:szCs w:val="24"/>
              </w:rPr>
              <w:t>3,9</w:t>
            </w:r>
          </w:p>
        </w:tc>
      </w:tr>
      <w:tr w:rsidR="00375E08" w:rsidRPr="00375E08" w14:paraId="1196DEAD" w14:textId="77777777" w:rsidTr="00381AA7">
        <w:tc>
          <w:tcPr>
            <w:tcW w:w="1925" w:type="dxa"/>
          </w:tcPr>
          <w:p w14:paraId="2E4AB176" w14:textId="77777777" w:rsidR="00375E08" w:rsidRPr="00375E08" w:rsidRDefault="00375E08" w:rsidP="00DD56F9">
            <w:pPr>
              <w:jc w:val="both"/>
              <w:rPr>
                <w:szCs w:val="24"/>
              </w:rPr>
            </w:pPr>
            <w:r w:rsidRPr="00375E08">
              <w:rPr>
                <w:szCs w:val="24"/>
              </w:rPr>
              <w:t>Pasiekusiųjų bent pagrindinį lygį (7-10 balų) skaičius ir  dalis</w:t>
            </w:r>
          </w:p>
        </w:tc>
        <w:tc>
          <w:tcPr>
            <w:tcW w:w="1925" w:type="dxa"/>
          </w:tcPr>
          <w:p w14:paraId="0286C779" w14:textId="77777777" w:rsidR="00375E08" w:rsidRPr="00375E08" w:rsidRDefault="00375E08" w:rsidP="00DD56F9">
            <w:pPr>
              <w:jc w:val="both"/>
              <w:rPr>
                <w:szCs w:val="24"/>
              </w:rPr>
            </w:pPr>
            <w:r w:rsidRPr="00375E08">
              <w:rPr>
                <w:szCs w:val="24"/>
              </w:rPr>
              <w:t>57 (45,6)</w:t>
            </w:r>
          </w:p>
        </w:tc>
        <w:tc>
          <w:tcPr>
            <w:tcW w:w="1926" w:type="dxa"/>
          </w:tcPr>
          <w:p w14:paraId="079F2B00" w14:textId="77777777" w:rsidR="00375E08" w:rsidRPr="00375E08" w:rsidRDefault="00375E08" w:rsidP="00DD56F9">
            <w:pPr>
              <w:jc w:val="both"/>
              <w:rPr>
                <w:szCs w:val="24"/>
              </w:rPr>
            </w:pPr>
            <w:r w:rsidRPr="00375E08">
              <w:rPr>
                <w:szCs w:val="24"/>
              </w:rPr>
              <w:t>46,0</w:t>
            </w:r>
          </w:p>
        </w:tc>
        <w:tc>
          <w:tcPr>
            <w:tcW w:w="1926" w:type="dxa"/>
          </w:tcPr>
          <w:p w14:paraId="004161C5" w14:textId="77777777" w:rsidR="00375E08" w:rsidRPr="00375E08" w:rsidRDefault="00375E08" w:rsidP="00DD56F9">
            <w:pPr>
              <w:jc w:val="both"/>
              <w:rPr>
                <w:szCs w:val="24"/>
              </w:rPr>
            </w:pPr>
            <w:r w:rsidRPr="00375E08">
              <w:rPr>
                <w:szCs w:val="24"/>
              </w:rPr>
              <w:t>48 (42,9)</w:t>
            </w:r>
          </w:p>
        </w:tc>
        <w:tc>
          <w:tcPr>
            <w:tcW w:w="1926" w:type="dxa"/>
          </w:tcPr>
          <w:p w14:paraId="6750609A" w14:textId="77777777" w:rsidR="00375E08" w:rsidRPr="00375E08" w:rsidRDefault="00375E08" w:rsidP="00DD56F9">
            <w:pPr>
              <w:jc w:val="both"/>
              <w:rPr>
                <w:szCs w:val="24"/>
              </w:rPr>
            </w:pPr>
            <w:r w:rsidRPr="00375E08">
              <w:rPr>
                <w:szCs w:val="24"/>
              </w:rPr>
              <w:t>53,9</w:t>
            </w:r>
          </w:p>
        </w:tc>
      </w:tr>
      <w:tr w:rsidR="00375E08" w:rsidRPr="00375E08" w14:paraId="11511217" w14:textId="77777777" w:rsidTr="00381AA7">
        <w:tc>
          <w:tcPr>
            <w:tcW w:w="1925" w:type="dxa"/>
          </w:tcPr>
          <w:p w14:paraId="63E94EF0" w14:textId="77777777" w:rsidR="00375E08" w:rsidRPr="00375E08" w:rsidRDefault="00375E08" w:rsidP="00DD56F9">
            <w:pPr>
              <w:jc w:val="both"/>
              <w:rPr>
                <w:szCs w:val="24"/>
              </w:rPr>
            </w:pPr>
            <w:r w:rsidRPr="00375E08">
              <w:rPr>
                <w:szCs w:val="24"/>
              </w:rPr>
              <w:t>Įvertintų 9-10 balų skaičius ir dalis</w:t>
            </w:r>
          </w:p>
        </w:tc>
        <w:tc>
          <w:tcPr>
            <w:tcW w:w="1925" w:type="dxa"/>
          </w:tcPr>
          <w:p w14:paraId="088640F5" w14:textId="77777777" w:rsidR="00375E08" w:rsidRPr="00375E08" w:rsidRDefault="00375E08" w:rsidP="00DD56F9">
            <w:pPr>
              <w:jc w:val="both"/>
              <w:rPr>
                <w:szCs w:val="24"/>
              </w:rPr>
            </w:pPr>
            <w:r w:rsidRPr="00375E08">
              <w:rPr>
                <w:szCs w:val="24"/>
              </w:rPr>
              <w:t>10 (8,0)</w:t>
            </w:r>
          </w:p>
        </w:tc>
        <w:tc>
          <w:tcPr>
            <w:tcW w:w="1926" w:type="dxa"/>
          </w:tcPr>
          <w:p w14:paraId="21769C78" w14:textId="77777777" w:rsidR="00375E08" w:rsidRPr="00375E08" w:rsidRDefault="00375E08" w:rsidP="00DD56F9">
            <w:pPr>
              <w:jc w:val="both"/>
              <w:rPr>
                <w:szCs w:val="24"/>
              </w:rPr>
            </w:pPr>
            <w:r w:rsidRPr="00375E08">
              <w:rPr>
                <w:szCs w:val="24"/>
              </w:rPr>
              <w:t>9,2</w:t>
            </w:r>
          </w:p>
        </w:tc>
        <w:tc>
          <w:tcPr>
            <w:tcW w:w="1926" w:type="dxa"/>
          </w:tcPr>
          <w:p w14:paraId="5E5D7A8A" w14:textId="77777777" w:rsidR="00375E08" w:rsidRPr="00375E08" w:rsidRDefault="00375E08" w:rsidP="00DD56F9">
            <w:pPr>
              <w:jc w:val="both"/>
              <w:rPr>
                <w:szCs w:val="24"/>
              </w:rPr>
            </w:pPr>
            <w:r w:rsidRPr="00375E08">
              <w:rPr>
                <w:szCs w:val="24"/>
              </w:rPr>
              <w:t>5 (4,5)</w:t>
            </w:r>
          </w:p>
        </w:tc>
        <w:tc>
          <w:tcPr>
            <w:tcW w:w="1926" w:type="dxa"/>
          </w:tcPr>
          <w:p w14:paraId="4332DCE5" w14:textId="77777777" w:rsidR="00375E08" w:rsidRPr="00375E08" w:rsidRDefault="00375E08" w:rsidP="00DD56F9">
            <w:pPr>
              <w:jc w:val="both"/>
              <w:rPr>
                <w:szCs w:val="24"/>
              </w:rPr>
            </w:pPr>
            <w:r w:rsidRPr="00375E08">
              <w:rPr>
                <w:szCs w:val="24"/>
              </w:rPr>
              <w:t>13,5</w:t>
            </w:r>
          </w:p>
        </w:tc>
      </w:tr>
    </w:tbl>
    <w:p w14:paraId="6E2FA81C" w14:textId="77777777" w:rsidR="00375E08" w:rsidRPr="00375E08" w:rsidRDefault="00375E08" w:rsidP="00DD56F9">
      <w:pPr>
        <w:jc w:val="both"/>
        <w:rPr>
          <w:szCs w:val="24"/>
        </w:rPr>
      </w:pPr>
    </w:p>
    <w:p w14:paraId="35513D5F" w14:textId="77777777" w:rsidR="00375E08" w:rsidRDefault="00375E08" w:rsidP="00DD56F9">
      <w:pPr>
        <w:spacing w:line="360" w:lineRule="auto"/>
        <w:jc w:val="both"/>
        <w:rPr>
          <w:szCs w:val="24"/>
        </w:rPr>
      </w:pPr>
      <w:r w:rsidRPr="00375E08">
        <w:rPr>
          <w:szCs w:val="24"/>
        </w:rPr>
        <w:t>2022 m. Lietuvių kalbos ir literatūros  PUPP iš viso dalyvavo 125 bendrojo ugdymo mokyklų mokiniai, 2023 m. – 112 . Nors mūsų rajono bendrojo ugdymo mokyklų mokinių nepasiekusiųjų patenkinamo lygio dalis sumažėjo, tačiau nerimą kelia bent pagrindinį lygį pasiekusiųjų mokinių dalies ir labai gerai išlaikiusiųjų mokinių dalies sumažėjimas, lyginant su 2022 m., nes bendrai Lietuvoje šie rodikliai 2023 m. pagerėjo.</w:t>
      </w:r>
    </w:p>
    <w:p w14:paraId="210B7F3A" w14:textId="77777777" w:rsidR="00183512" w:rsidRDefault="00183512" w:rsidP="00DD56F9">
      <w:pPr>
        <w:spacing w:line="360" w:lineRule="auto"/>
        <w:jc w:val="both"/>
        <w:rPr>
          <w:szCs w:val="24"/>
        </w:rPr>
      </w:pPr>
    </w:p>
    <w:p w14:paraId="4F365D30" w14:textId="50F987F8" w:rsidR="00375E08" w:rsidRPr="00375E08" w:rsidRDefault="00F04C1E" w:rsidP="00DD56F9">
      <w:pPr>
        <w:jc w:val="both"/>
        <w:rPr>
          <w:szCs w:val="24"/>
        </w:rPr>
      </w:pPr>
      <w:r>
        <w:rPr>
          <w:szCs w:val="24"/>
        </w:rPr>
        <w:t>2023 m. 4 klasės Nacionalinių mokinių pasiekimų patikrinimų rezultatai</w:t>
      </w:r>
    </w:p>
    <w:p w14:paraId="08AC4174" w14:textId="77777777" w:rsidR="00375E08" w:rsidRPr="00D10DC6" w:rsidRDefault="00375E08" w:rsidP="00DD56F9">
      <w:pPr>
        <w:jc w:val="both"/>
        <w:rPr>
          <w:szCs w:val="24"/>
        </w:rPr>
      </w:pPr>
    </w:p>
    <w:p w14:paraId="5357ADBF" w14:textId="40671B34" w:rsidR="00375E08" w:rsidRPr="00D10DC6" w:rsidRDefault="00375E08" w:rsidP="00DD56F9">
      <w:pPr>
        <w:jc w:val="both"/>
        <w:rPr>
          <w:szCs w:val="24"/>
        </w:rPr>
      </w:pPr>
      <w:r w:rsidRPr="00D10DC6">
        <w:rPr>
          <w:noProof/>
          <w:szCs w:val="24"/>
        </w:rPr>
        <w:drawing>
          <wp:inline distT="0" distB="0" distL="0" distR="0" wp14:anchorId="4E8B7F58" wp14:editId="3C006D90">
            <wp:extent cx="6120130" cy="1628140"/>
            <wp:effectExtent l="0" t="0" r="0" b="0"/>
            <wp:docPr id="274529379" name="Paveikslėlis 1"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29379" name="Paveikslėlis 1" descr="Paveikslėlis, kuriame yra tekstas, ekrano kopija, Šriftas, skaičius&#10;&#10;Automatiškai sugeneruotas aprašymas"/>
                    <pic:cNvPicPr/>
                  </pic:nvPicPr>
                  <pic:blipFill>
                    <a:blip r:embed="rId9"/>
                    <a:stretch>
                      <a:fillRect/>
                    </a:stretch>
                  </pic:blipFill>
                  <pic:spPr>
                    <a:xfrm>
                      <a:off x="0" y="0"/>
                      <a:ext cx="6120130" cy="1628140"/>
                    </a:xfrm>
                    <a:prstGeom prst="rect">
                      <a:avLst/>
                    </a:prstGeom>
                  </pic:spPr>
                </pic:pic>
              </a:graphicData>
            </a:graphic>
          </wp:inline>
        </w:drawing>
      </w:r>
    </w:p>
    <w:p w14:paraId="53EC43B7" w14:textId="2AAB0AD1" w:rsidR="008B66FD" w:rsidRDefault="00183512" w:rsidP="00DD56F9">
      <w:pPr>
        <w:spacing w:after="0" w:line="360" w:lineRule="auto"/>
        <w:ind w:firstLine="680"/>
        <w:jc w:val="both"/>
        <w:rPr>
          <w:szCs w:val="24"/>
        </w:rPr>
      </w:pPr>
      <w:r>
        <w:rPr>
          <w:szCs w:val="24"/>
        </w:rPr>
        <w:t>4 klasių mokinių NMPP rezultatai nebuvo džiuginantys. Savivaldybės vidurkis matematikos ir skaitymo patikrinimuose  daugiau nei 3 proc. mažesnis už šalies vidurkį.</w:t>
      </w:r>
    </w:p>
    <w:p w14:paraId="41EC106A" w14:textId="77777777" w:rsidR="00183512" w:rsidRPr="00183512" w:rsidRDefault="00183512" w:rsidP="00DD56F9">
      <w:pPr>
        <w:spacing w:after="0" w:line="360" w:lineRule="auto"/>
        <w:ind w:firstLine="680"/>
        <w:jc w:val="both"/>
        <w:rPr>
          <w:szCs w:val="24"/>
        </w:rPr>
      </w:pPr>
    </w:p>
    <w:p w14:paraId="4D9C144E" w14:textId="2E535FD0" w:rsidR="00F04C1E" w:rsidRPr="00183512" w:rsidRDefault="00F04C1E" w:rsidP="00DD56F9">
      <w:pPr>
        <w:jc w:val="both"/>
        <w:rPr>
          <w:szCs w:val="24"/>
        </w:rPr>
      </w:pPr>
      <w:r w:rsidRPr="00183512">
        <w:rPr>
          <w:szCs w:val="24"/>
        </w:rPr>
        <w:t>2023 m. 8 klasės Nacionalinių mokinių pasiekimų patikrinimų rezultatai</w:t>
      </w:r>
    </w:p>
    <w:p w14:paraId="2544D7D8" w14:textId="77777777" w:rsidR="00375E08" w:rsidRPr="00D10DC6" w:rsidRDefault="00375E08" w:rsidP="00DD56F9">
      <w:pPr>
        <w:spacing w:after="0" w:line="360" w:lineRule="auto"/>
        <w:ind w:firstLine="680"/>
        <w:jc w:val="both"/>
        <w:rPr>
          <w:szCs w:val="24"/>
        </w:rPr>
      </w:pPr>
    </w:p>
    <w:p w14:paraId="328AF227" w14:textId="49E050A7" w:rsidR="00F04C1E" w:rsidRPr="00D10DC6" w:rsidRDefault="00F04C1E" w:rsidP="00DD56F9">
      <w:pPr>
        <w:spacing w:after="0" w:line="360" w:lineRule="auto"/>
        <w:ind w:left="-1276" w:firstLine="1276"/>
        <w:jc w:val="both"/>
        <w:rPr>
          <w:szCs w:val="24"/>
        </w:rPr>
      </w:pPr>
      <w:r w:rsidRPr="00D10DC6">
        <w:rPr>
          <w:noProof/>
          <w:szCs w:val="24"/>
        </w:rPr>
        <w:drawing>
          <wp:inline distT="0" distB="0" distL="0" distR="0" wp14:anchorId="3D82F0F5" wp14:editId="3004030C">
            <wp:extent cx="6120130" cy="1795145"/>
            <wp:effectExtent l="0" t="0" r="0" b="0"/>
            <wp:docPr id="170195317" name="Paveikslėlis 1"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5317" name="Paveikslėlis 1" descr="Paveikslėlis, kuriame yra tekstas, ekrano kopija, Šriftas, skaičius&#10;&#10;Automatiškai sugeneruotas aprašymas"/>
                    <pic:cNvPicPr/>
                  </pic:nvPicPr>
                  <pic:blipFill>
                    <a:blip r:embed="rId10"/>
                    <a:stretch>
                      <a:fillRect/>
                    </a:stretch>
                  </pic:blipFill>
                  <pic:spPr>
                    <a:xfrm>
                      <a:off x="0" y="0"/>
                      <a:ext cx="6120130" cy="1795145"/>
                    </a:xfrm>
                    <a:prstGeom prst="rect">
                      <a:avLst/>
                    </a:prstGeom>
                  </pic:spPr>
                </pic:pic>
              </a:graphicData>
            </a:graphic>
          </wp:inline>
        </w:drawing>
      </w:r>
    </w:p>
    <w:p w14:paraId="274851E7" w14:textId="3D2F676D" w:rsidR="006B02DD" w:rsidRDefault="00183512" w:rsidP="00DD56F9">
      <w:pPr>
        <w:spacing w:after="0" w:line="360" w:lineRule="auto"/>
        <w:ind w:firstLine="1296"/>
        <w:jc w:val="both"/>
        <w:rPr>
          <w:szCs w:val="24"/>
        </w:rPr>
      </w:pPr>
      <w:r>
        <w:rPr>
          <w:szCs w:val="24"/>
        </w:rPr>
        <w:t xml:space="preserve">8 klasės mokinių NMPP rezultatai neblogi. Lietuvių kalbos ir literatūros patikrinimo rezultatas atitinka </w:t>
      </w:r>
      <w:r w:rsidRPr="005D2031">
        <w:rPr>
          <w:szCs w:val="24"/>
        </w:rPr>
        <w:t>šalies vidurkį</w:t>
      </w:r>
      <w:r w:rsidR="009D627A" w:rsidRPr="005D2031">
        <w:rPr>
          <w:szCs w:val="24"/>
        </w:rPr>
        <w:t>,</w:t>
      </w:r>
      <w:r w:rsidRPr="005D2031">
        <w:rPr>
          <w:szCs w:val="24"/>
        </w:rPr>
        <w:t xml:space="preserve"> o</w:t>
      </w:r>
      <w:r>
        <w:rPr>
          <w:szCs w:val="24"/>
        </w:rPr>
        <w:t xml:space="preserve"> matematikos- daugiau kaip 3 proc. aukštesnis už šalies vidurkį.</w:t>
      </w:r>
    </w:p>
    <w:p w14:paraId="2F1755A3" w14:textId="77777777" w:rsidR="006B02DD" w:rsidRDefault="006B02DD" w:rsidP="00DD56F9">
      <w:pPr>
        <w:spacing w:after="0" w:line="360" w:lineRule="auto"/>
        <w:ind w:left="-1276" w:firstLine="1276"/>
        <w:jc w:val="both"/>
        <w:rPr>
          <w:szCs w:val="24"/>
        </w:rPr>
      </w:pPr>
    </w:p>
    <w:p w14:paraId="14B34EF4" w14:textId="0117AB9F" w:rsidR="006B02DD" w:rsidRDefault="00F73DAB" w:rsidP="00DD56F9">
      <w:pPr>
        <w:tabs>
          <w:tab w:val="left" w:pos="900"/>
        </w:tabs>
        <w:spacing w:line="360" w:lineRule="auto"/>
        <w:jc w:val="both"/>
      </w:pPr>
      <w:r>
        <w:tab/>
      </w:r>
      <w:r w:rsidR="006B02DD" w:rsidRPr="00AA4CE0">
        <w:t>202</w:t>
      </w:r>
      <w:r w:rsidR="00ED28D7">
        <w:t>3</w:t>
      </w:r>
      <w:r w:rsidR="006B02DD" w:rsidRPr="00AA4CE0">
        <w:t xml:space="preserve"> metais Kultūros ir švietimo skyrius vykdė švietimo stebėseną, organizavo  mokytojų atestaciją, koordinavo pavaldžių švietimo įstaigų veiklą, teikė konsultacinę pagalbą mokyklų vadovams, mokytojams, tėvams, vertino pavaldžių mokyklų mokinių mokymosi pasiekimus,  organizavo ir tvarkė Savivaldybės teritorijoje gyvenančių vaikų apskaitą, vedė mokyklos nelankančių vaikų apskaitą, užtikrino Savivaldybės teritorijoje gyvenančių vaikų iki 16 metų mokymąsi pagal privalomojo švietimo programas, koordinavo, organizavo valstybinių brandos egzaminų vykdymą bei ir atliko jų priežiūrą.</w:t>
      </w:r>
    </w:p>
    <w:p w14:paraId="2E7A6DF6" w14:textId="351A0C4E" w:rsidR="00183512" w:rsidRDefault="00C931C6" w:rsidP="00DD56F9">
      <w:pPr>
        <w:tabs>
          <w:tab w:val="left" w:pos="900"/>
        </w:tabs>
        <w:spacing w:line="360" w:lineRule="auto"/>
        <w:jc w:val="both"/>
      </w:pPr>
      <w:r>
        <w:t xml:space="preserve">             </w:t>
      </w:r>
      <w:r w:rsidR="00183512">
        <w:t xml:space="preserve">Skyrius dalyvavo Tūkstantmečio mokyklų programos </w:t>
      </w:r>
      <w:r w:rsidR="00D644BB">
        <w:t>Molėtų rajono savivaldybės švietimo Pažangos plano rengimo ir derinimo procesuose, dirbo darbo grupėje.</w:t>
      </w:r>
    </w:p>
    <w:p w14:paraId="37D0C768" w14:textId="47279C48" w:rsidR="00D644BB" w:rsidRDefault="00C931C6" w:rsidP="00DD56F9">
      <w:pPr>
        <w:spacing w:line="360" w:lineRule="auto"/>
        <w:jc w:val="both"/>
      </w:pPr>
      <w:r>
        <w:t xml:space="preserve">            </w:t>
      </w:r>
      <w:r w:rsidR="00D644BB">
        <w:t>Skyrius koordinavo projekto „Atviros ekosistemos atsiskaitymams negrynaisiais pinigais bendrojo ugdymo įstaigų valgyklose kūrimas“ įgyvendinimą</w:t>
      </w:r>
      <w:r>
        <w:t>, dalyvavo regioninės plėtros projektų „Visos dienos mokyklos modelio diegimas Molėtų pradinėje mokykloje“, „Ikimokyklinio ugdymo paslaugų prieinamumo didinimas Molėtų rajono savivaldybėje“, „Bendrojo ugdymo įstaigų prieinamumo didinimas Molėtų rajono savivaldybėje“</w:t>
      </w:r>
      <w:r w:rsidRPr="00C931C6">
        <w:t xml:space="preserve"> </w:t>
      </w:r>
      <w:r>
        <w:t>rengime.</w:t>
      </w:r>
    </w:p>
    <w:p w14:paraId="3DE89DF0" w14:textId="5A3303D6" w:rsidR="006B02DD" w:rsidRPr="00AA4CE0" w:rsidRDefault="00C931C6" w:rsidP="00DD56F9">
      <w:pPr>
        <w:spacing w:line="360" w:lineRule="auto"/>
        <w:jc w:val="both"/>
      </w:pPr>
      <w:r>
        <w:t xml:space="preserve">          </w:t>
      </w:r>
      <w:r w:rsidR="006B02DD" w:rsidRPr="00AA4CE0">
        <w:tab/>
        <w:t xml:space="preserve">Kultūros ir švietimo skyrius organizavo švietimo įstaigų vadovų pasitarimus, kuriuose buvo aptariami švietimo organizavimo, </w:t>
      </w:r>
      <w:r w:rsidR="00D10DC6">
        <w:t xml:space="preserve">dalyvavimo Tūkstantmečio mokyklų programoje, atnaujintų mokomųjų dalykų programų įdiegimo į ugdymo procesą klausimai, </w:t>
      </w:r>
      <w:r w:rsidR="006B02DD" w:rsidRPr="00AA4CE0">
        <w:t>dalyvavimo projektinėje veikloje problemos</w:t>
      </w:r>
      <w:r w:rsidR="00D305A6">
        <w:t>,</w:t>
      </w:r>
      <w:r w:rsidR="006B02DD" w:rsidRPr="00AA4CE0">
        <w:t xml:space="preserve"> ir iššūkiai mokinių pasiekimų, 202</w:t>
      </w:r>
      <w:r w:rsidR="00ED28D7">
        <w:t>3</w:t>
      </w:r>
      <w:r w:rsidR="006B02DD" w:rsidRPr="00AA4CE0">
        <w:t xml:space="preserve"> m. brandos egzaminų rezultatai, mokinių maitinimo, pavėžėjimo,  švietimo įstaigų bendradarbiavimo su socialiniais partneriais, vaiko minimalios ir vidutinės priežiūros įstatymo įgyvendinimo,  mokyklų finansavimo, remontų ir kiti aktualūs švietimo plėtotės klausimai.</w:t>
      </w:r>
    </w:p>
    <w:p w14:paraId="1FFFDBFA" w14:textId="3139CB49" w:rsidR="006B02DD" w:rsidRDefault="006B02DD" w:rsidP="00DD56F9">
      <w:pPr>
        <w:spacing w:line="360" w:lineRule="auto"/>
        <w:jc w:val="both"/>
      </w:pPr>
      <w:r>
        <w:t xml:space="preserve">             </w:t>
      </w:r>
      <w:r w:rsidRPr="00AA4CE0">
        <w:t xml:space="preserve">Kultūros ir švietimo skyrius koordinavo ir analizavo rajono mokyklų įsivertinimo organizavimą ir vykdymą. Skyriaus specialistai konsultavo mokyklas veiklos tobulinimo klausimais. </w:t>
      </w:r>
      <w:r>
        <w:t xml:space="preserve"> </w:t>
      </w:r>
      <w:r w:rsidR="00333995">
        <w:t>Kartu su m</w:t>
      </w:r>
      <w:r>
        <w:t>okyklo</w:t>
      </w:r>
      <w:r w:rsidR="00333995">
        <w:t>mis</w:t>
      </w:r>
      <w:r>
        <w:t xml:space="preserve"> </w:t>
      </w:r>
      <w:r w:rsidR="007D6C88">
        <w:t>toliau dirbo</w:t>
      </w:r>
      <w:r>
        <w:t xml:space="preserve">  ukrainiečių pabėgėlių vaikų integracijos į rajono švietimo įstaigas klausimu. </w:t>
      </w:r>
      <w:r w:rsidR="007D6C88">
        <w:t>Švietimo, mokslo ir sporto ministro nustatyta tvarka nuo 2023 m. rugsėjo 1 d. ukrainiečių vaikai privalėjo lankyti mūsų mokyklas</w:t>
      </w:r>
      <w:r w:rsidR="00B3035A">
        <w:t>.</w:t>
      </w:r>
      <w:r w:rsidR="007D6C88">
        <w:t xml:space="preserve"> </w:t>
      </w:r>
      <w:r w:rsidR="00B3035A">
        <w:t xml:space="preserve">Skyriaus užduotimi tapo tokių vaikų </w:t>
      </w:r>
      <w:r w:rsidR="00333995">
        <w:t xml:space="preserve">suradimas ir </w:t>
      </w:r>
      <w:r w:rsidR="00B3035A">
        <w:t>įtraukimas į ugdymo procesą. Ukrainiečių vaikų skaičius rajono savivaldybėse lyginant su 2022 metais sumažėjo nuo 53 iki 21.</w:t>
      </w:r>
      <w:r w:rsidR="007D6C88">
        <w:t xml:space="preserve"> </w:t>
      </w:r>
      <w:r>
        <w:t>202</w:t>
      </w:r>
      <w:r w:rsidR="00B3035A">
        <w:t>3</w:t>
      </w:r>
      <w:r>
        <w:t xml:space="preserve"> m. </w:t>
      </w:r>
      <w:r w:rsidR="00B3035A">
        <w:t>gruodžio mėn. duomenimis</w:t>
      </w:r>
      <w:r>
        <w:t xml:space="preserve">  </w:t>
      </w:r>
      <w:r w:rsidR="00333995">
        <w:t>1</w:t>
      </w:r>
      <w:r>
        <w:t xml:space="preserve"> </w:t>
      </w:r>
      <w:r w:rsidR="00333995">
        <w:t>mokinys</w:t>
      </w:r>
      <w:r>
        <w:t xml:space="preserve"> mokėsi pagal ikimokyklinio,</w:t>
      </w:r>
      <w:r w:rsidRPr="006C36E1">
        <w:t xml:space="preserve"> </w:t>
      </w:r>
      <w:r w:rsidR="00333995">
        <w:t>2</w:t>
      </w:r>
      <w:r>
        <w:t xml:space="preserve"> pagal priešmokyklinio, </w:t>
      </w:r>
      <w:r w:rsidR="00333995">
        <w:t>7</w:t>
      </w:r>
      <w:r>
        <w:t xml:space="preserve">  pagal pradinio, 1</w:t>
      </w:r>
      <w:r w:rsidR="00333995">
        <w:t>0</w:t>
      </w:r>
      <w:r>
        <w:t xml:space="preserve"> pagal pagrindinio ir </w:t>
      </w:r>
      <w:r w:rsidR="00333995">
        <w:t>1</w:t>
      </w:r>
      <w:r>
        <w:t xml:space="preserve"> pagal vidurinio ugdymo programas. Skyriaus darbuotojai kartu su mokyklomis </w:t>
      </w:r>
      <w:r w:rsidR="00333995">
        <w:t xml:space="preserve">toliau </w:t>
      </w:r>
      <w:r>
        <w:t>sprendė ugdymo plano derinimo, psichologinės šių mokinių adaptacijos, švietimo pagalbos organizavimo šiems mokiniams klausimus.</w:t>
      </w:r>
    </w:p>
    <w:p w14:paraId="5B0DA887" w14:textId="46D6DC1A" w:rsidR="006B02DD" w:rsidRPr="00AA4CE0" w:rsidRDefault="006B02DD" w:rsidP="00DD56F9">
      <w:pPr>
        <w:spacing w:line="360" w:lineRule="auto"/>
        <w:ind w:firstLine="680"/>
        <w:jc w:val="both"/>
        <w:rPr>
          <w:color w:val="000000"/>
        </w:rPr>
      </w:pPr>
      <w:r w:rsidRPr="00AA4CE0">
        <w:tab/>
        <w:t>Kultūros ir švietimo skyrius 202</w:t>
      </w:r>
      <w:r w:rsidR="00333995">
        <w:t>3</w:t>
      </w:r>
      <w:r w:rsidRPr="00AA4CE0">
        <w:t xml:space="preserve"> metais rajono Savivaldybės tarybai</w:t>
      </w:r>
      <w:r w:rsidR="00333995">
        <w:t xml:space="preserve"> </w:t>
      </w:r>
      <w:r w:rsidRPr="00AA4CE0">
        <w:t xml:space="preserve"> pateikė  </w:t>
      </w:r>
      <w:r w:rsidR="00333995">
        <w:t xml:space="preserve">visus reikiamus </w:t>
      </w:r>
      <w:r w:rsidRPr="00AA4CE0">
        <w:t>sprendimų projektus</w:t>
      </w:r>
      <w:r w:rsidR="00333995">
        <w:t>, o Savivaldybės administracijos direktoriui įsakymų projektus</w:t>
      </w:r>
      <w:r w:rsidRPr="00AA4CE0">
        <w:t xml:space="preserve"> aktualiais švietimo plėtotės rajone klausimais</w:t>
      </w:r>
      <w:r w:rsidR="00333995">
        <w:t>.</w:t>
      </w:r>
      <w:r w:rsidRPr="00AA4CE0">
        <w:t xml:space="preserve"> </w:t>
      </w:r>
    </w:p>
    <w:p w14:paraId="337ABD0E" w14:textId="77777777" w:rsidR="006B02DD" w:rsidRPr="00AA4CE0" w:rsidRDefault="006B02DD" w:rsidP="00DD56F9">
      <w:pPr>
        <w:tabs>
          <w:tab w:val="left" w:pos="900"/>
        </w:tabs>
        <w:spacing w:line="360" w:lineRule="auto"/>
        <w:jc w:val="both"/>
      </w:pPr>
      <w:r w:rsidRPr="00AA4CE0">
        <w:tab/>
        <w:t>Kultūros ir švietimo skyriaus specialistai nuolat tobulina kvalifikaciją, kompetencijas. Aktyvai dalyvavo rajoniniuose, respublikiniuose kursuose ir seminaruose, įvairiuose pasitarimuose švietimo prieinamumo, kokybės klausimais.</w:t>
      </w:r>
    </w:p>
    <w:p w14:paraId="06B386F3" w14:textId="77777777" w:rsidR="006B02DD" w:rsidRPr="00AA4CE0" w:rsidRDefault="006B02DD" w:rsidP="00DD56F9">
      <w:pPr>
        <w:tabs>
          <w:tab w:val="left" w:pos="900"/>
        </w:tabs>
        <w:spacing w:line="360" w:lineRule="auto"/>
        <w:jc w:val="both"/>
      </w:pPr>
      <w:r w:rsidRPr="00AA4CE0">
        <w:t xml:space="preserve">               Įgyvendinant savivaldybės švietimo prioritetus, savivaldybės administracijos Kultūros ir švietimo skyrius bendradarbiavo su ugdymo įstaigomis, Molėtų r. švietimo pagalbos tarnyba, savivaldybės administracijos padaliniais, Nevyriausybinėmis organizacijomis ir kitais socialiniais partneriais.</w:t>
      </w:r>
    </w:p>
    <w:p w14:paraId="3CD59A24" w14:textId="77777777" w:rsidR="004D16E7" w:rsidRDefault="006B02DD" w:rsidP="00DD56F9">
      <w:pPr>
        <w:tabs>
          <w:tab w:val="left" w:pos="900"/>
        </w:tabs>
        <w:spacing w:line="360" w:lineRule="auto"/>
        <w:jc w:val="both"/>
        <w:outlineLvl w:val="0"/>
      </w:pPr>
      <w:r w:rsidRPr="00AA4CE0">
        <w:tab/>
      </w:r>
    </w:p>
    <w:p w14:paraId="03F36775" w14:textId="77777777" w:rsidR="004D16E7" w:rsidRDefault="004D16E7" w:rsidP="00DD56F9">
      <w:pPr>
        <w:tabs>
          <w:tab w:val="left" w:pos="900"/>
        </w:tabs>
        <w:spacing w:line="360" w:lineRule="auto"/>
        <w:jc w:val="both"/>
        <w:outlineLvl w:val="0"/>
      </w:pPr>
    </w:p>
    <w:p w14:paraId="0CC72193" w14:textId="7C8E2C0E" w:rsidR="006B02DD" w:rsidRDefault="004D16E7" w:rsidP="00DD56F9">
      <w:pPr>
        <w:tabs>
          <w:tab w:val="left" w:pos="900"/>
        </w:tabs>
        <w:spacing w:line="360" w:lineRule="auto"/>
        <w:jc w:val="both"/>
        <w:outlineLvl w:val="0"/>
        <w:rPr>
          <w:b/>
        </w:rPr>
      </w:pPr>
      <w:r>
        <w:t xml:space="preserve">                 </w:t>
      </w:r>
      <w:r w:rsidR="006B02DD" w:rsidRPr="00AA4CE0">
        <w:rPr>
          <w:b/>
        </w:rPr>
        <w:t>Likusios problemos, galimi sprendimų būdai, nauji uždaviniai</w:t>
      </w:r>
    </w:p>
    <w:p w14:paraId="4E5FB674" w14:textId="3CF38986" w:rsidR="003A745D" w:rsidRDefault="004D16E7" w:rsidP="00DD56F9">
      <w:pPr>
        <w:tabs>
          <w:tab w:val="left" w:pos="900"/>
        </w:tabs>
        <w:spacing w:line="360" w:lineRule="auto"/>
        <w:jc w:val="both"/>
        <w:outlineLvl w:val="0"/>
      </w:pPr>
      <w:r>
        <w:rPr>
          <w:b/>
        </w:rPr>
        <w:t xml:space="preserve">            </w:t>
      </w:r>
      <w:r w:rsidR="00333995" w:rsidRPr="00333995">
        <w:rPr>
          <w:bCs/>
        </w:rPr>
        <w:t>Nors 1-</w:t>
      </w:r>
      <w:r w:rsidR="00333995">
        <w:rPr>
          <w:bCs/>
        </w:rPr>
        <w:t>1</w:t>
      </w:r>
      <w:r w:rsidR="00333995" w:rsidRPr="00333995">
        <w:rPr>
          <w:bCs/>
        </w:rPr>
        <w:t>2</w:t>
      </w:r>
      <w:r w:rsidR="003A745D">
        <w:rPr>
          <w:bCs/>
        </w:rPr>
        <w:t xml:space="preserve"> klasių mokinių skaičius 2023 m. lyginant su 2022 m. nežymiai išaugo,</w:t>
      </w:r>
      <w:r w:rsidR="00333995">
        <w:rPr>
          <w:b/>
        </w:rPr>
        <w:t xml:space="preserve"> </w:t>
      </w:r>
      <w:r w:rsidR="006B02DD" w:rsidRPr="00AA4CE0">
        <w:t xml:space="preserve">mokinių skaičius Savivaldybės bendrojo ugdymo mokyklose toliau kelia didelius iššūkius.  </w:t>
      </w:r>
    </w:p>
    <w:p w14:paraId="48E766DE" w14:textId="7C525CE7" w:rsidR="006B02DD" w:rsidRPr="00AA4CE0" w:rsidRDefault="004D16E7" w:rsidP="00DD56F9">
      <w:pPr>
        <w:tabs>
          <w:tab w:val="left" w:pos="900"/>
        </w:tabs>
        <w:spacing w:line="360" w:lineRule="auto"/>
        <w:jc w:val="both"/>
      </w:pPr>
      <w:r>
        <w:t xml:space="preserve">            </w:t>
      </w:r>
      <w:r w:rsidR="003A745D">
        <w:t xml:space="preserve">Molėtų r. Giedraičių Antano Jaroševičiaus gimnazijos Joniškio ir Molėtų r. Alantos gimnazijos </w:t>
      </w:r>
      <w:proofErr w:type="spellStart"/>
      <w:r w:rsidR="003A745D">
        <w:t>Suginčių</w:t>
      </w:r>
      <w:proofErr w:type="spellEnd"/>
      <w:r w:rsidR="003A745D">
        <w:t xml:space="preserve"> skyriuose mokinių skaičius balansuoja ties mažiausio leistino mokinių skaičiaus klasėse riba. Jeigu reikėtų reorganizuoti arba likviduoti šiuos skyrius,</w:t>
      </w:r>
      <w:r w:rsidR="006B02DD">
        <w:t xml:space="preserve"> iškiltų Alantos gimnazijos ir Giedraičių Antano Jaroševičiaus gimnazijos </w:t>
      </w:r>
      <w:r w:rsidR="003A745D">
        <w:t xml:space="preserve">teisėto </w:t>
      </w:r>
      <w:r w:rsidR="006B02DD">
        <w:t xml:space="preserve">dalyvavimo Tūkstantmečio mokyklų programoje klausimas, kadangi jos  netenkintų projekto reikalavimo per visą jo vykdymo laikotarpį turėti ne mažiau kaip 200 mokinių. </w:t>
      </w:r>
      <w:r w:rsidR="00C56314">
        <w:t xml:space="preserve">Nuo 2024 m. rugsėjo 1 d. minimalus mokinių skaičius kaimo gimnazijų III </w:t>
      </w:r>
      <w:proofErr w:type="spellStart"/>
      <w:r w:rsidR="00C56314">
        <w:t>gimnazijinėse</w:t>
      </w:r>
      <w:proofErr w:type="spellEnd"/>
      <w:r w:rsidR="00C56314">
        <w:t xml:space="preserve"> klasėse bus  21 mokinys, todėl iškils tokių klasių formavimo mūsų kaimo gimnazijose klausimas. Savivaldybė siekdama išsaugoti tokias klases, privalės ir toliau tęsti bendrų klasių kaimo gimnazijose kūrimą.</w:t>
      </w:r>
    </w:p>
    <w:p w14:paraId="017CA725" w14:textId="468E1391" w:rsidR="006B02DD" w:rsidRDefault="004D16E7" w:rsidP="00DD56F9">
      <w:pPr>
        <w:tabs>
          <w:tab w:val="left" w:pos="900"/>
        </w:tabs>
        <w:spacing w:line="360" w:lineRule="auto"/>
        <w:jc w:val="both"/>
        <w:rPr>
          <w:color w:val="333333"/>
        </w:rPr>
      </w:pPr>
      <w:r>
        <w:t xml:space="preserve">         </w:t>
      </w:r>
      <w:r w:rsidR="006B02DD" w:rsidRPr="00AA4CE0">
        <w:t>Vis aktualesnė tampa mokytojų senėjimo problema.</w:t>
      </w:r>
      <w:r w:rsidR="006B02DD" w:rsidRPr="00AA4CE0">
        <w:rPr>
          <w:rFonts w:eastAsia="Calibri"/>
        </w:rPr>
        <w:t xml:space="preserve"> </w:t>
      </w:r>
      <w:r w:rsidR="006B02DD" w:rsidRPr="00AA4CE0">
        <w:rPr>
          <w:color w:val="333333"/>
        </w:rPr>
        <w:t>Sulaukusių 60 ir daugiau metų amžiaus pedagoginių darbuotojų dalis 2016-202</w:t>
      </w:r>
      <w:r w:rsidR="00C56314">
        <w:rPr>
          <w:color w:val="333333"/>
        </w:rPr>
        <w:t>3</w:t>
      </w:r>
      <w:r w:rsidR="006B02DD" w:rsidRPr="00AA4CE0">
        <w:rPr>
          <w:color w:val="333333"/>
        </w:rPr>
        <w:t xml:space="preserve"> metų  laikotarpiu padidėjo 9,</w:t>
      </w:r>
      <w:r w:rsidR="00C56314">
        <w:rPr>
          <w:color w:val="333333"/>
        </w:rPr>
        <w:t>3</w:t>
      </w:r>
      <w:r w:rsidR="006B02DD" w:rsidRPr="00AA4CE0">
        <w:rPr>
          <w:color w:val="333333"/>
        </w:rPr>
        <w:t xml:space="preserve"> procento (nuo 11,7 proc. iki 2</w:t>
      </w:r>
      <w:r w:rsidR="00C56314">
        <w:rPr>
          <w:color w:val="333333"/>
        </w:rPr>
        <w:t>1</w:t>
      </w:r>
      <w:r w:rsidR="006B02DD" w:rsidRPr="00AA4CE0">
        <w:rPr>
          <w:color w:val="333333"/>
        </w:rPr>
        <w:t>,</w:t>
      </w:r>
      <w:r w:rsidR="00C56314">
        <w:rPr>
          <w:color w:val="333333"/>
        </w:rPr>
        <w:t>0</w:t>
      </w:r>
      <w:r w:rsidR="006B02DD" w:rsidRPr="00AA4CE0">
        <w:rPr>
          <w:color w:val="333333"/>
        </w:rPr>
        <w:t xml:space="preserve"> proc.). </w:t>
      </w:r>
      <w:r w:rsidR="00C56314">
        <w:rPr>
          <w:color w:val="333333"/>
        </w:rPr>
        <w:t>Nors šiuo metu</w:t>
      </w:r>
      <w:r w:rsidR="005F7313">
        <w:rPr>
          <w:color w:val="333333"/>
        </w:rPr>
        <w:t xml:space="preserve"> dar nėra aštrios mokytojų trūkumo problemos, tačiau ateityje ji taps labai opi, jeigu patvirtinta jaunų švietimo specialistų pritraukimo į Savivaldybės</w:t>
      </w:r>
      <w:r w:rsidR="006B02DD" w:rsidRPr="00AA4CE0">
        <w:rPr>
          <w:color w:val="333333"/>
        </w:rPr>
        <w:t xml:space="preserve"> </w:t>
      </w:r>
      <w:r w:rsidR="005F7313">
        <w:rPr>
          <w:color w:val="333333"/>
        </w:rPr>
        <w:t>mokyklas sistema, neduos apčiuopiamų rezultatų. 2023 m. suteikta galimybe persikvalifikuoti savivaldybės lėšomis pasinaudojo tik viena mokytoja.</w:t>
      </w:r>
    </w:p>
    <w:p w14:paraId="262E902F" w14:textId="02B1DF3F" w:rsidR="00C73647" w:rsidRDefault="004D16E7" w:rsidP="00DD56F9">
      <w:pPr>
        <w:spacing w:line="360" w:lineRule="auto"/>
        <w:jc w:val="both"/>
        <w:rPr>
          <w:rFonts w:cs="Times New Roman"/>
          <w:szCs w:val="24"/>
        </w:rPr>
      </w:pPr>
      <w:r>
        <w:rPr>
          <w:rFonts w:cs="Times New Roman"/>
          <w:szCs w:val="24"/>
        </w:rPr>
        <w:t xml:space="preserve">       </w:t>
      </w:r>
      <w:r w:rsidR="00C73647">
        <w:rPr>
          <w:rFonts w:cs="Times New Roman"/>
          <w:szCs w:val="24"/>
        </w:rPr>
        <w:t xml:space="preserve">Aktuali ir mokinių pavėžėjimo problema.  Rajono mokyklos turi 24 transporto priemones. Dalis jų prastos būklės. Labai prastos būklės yra </w:t>
      </w:r>
      <w:proofErr w:type="spellStart"/>
      <w:r w:rsidR="00C73647">
        <w:rPr>
          <w:rFonts w:cs="Times New Roman"/>
          <w:szCs w:val="24"/>
        </w:rPr>
        <w:t>Kijėlių</w:t>
      </w:r>
      <w:proofErr w:type="spellEnd"/>
      <w:r w:rsidR="00C73647">
        <w:rPr>
          <w:rFonts w:cs="Times New Roman"/>
          <w:szCs w:val="24"/>
        </w:rPr>
        <w:t xml:space="preserve"> </w:t>
      </w:r>
      <w:r w:rsidR="007A4928">
        <w:rPr>
          <w:rFonts w:cs="Times New Roman"/>
          <w:szCs w:val="24"/>
        </w:rPr>
        <w:t>S</w:t>
      </w:r>
      <w:r w:rsidR="00C73647">
        <w:rPr>
          <w:rFonts w:cs="Times New Roman"/>
          <w:szCs w:val="24"/>
        </w:rPr>
        <w:t>UC autobus</w:t>
      </w:r>
      <w:r w:rsidR="007A4928">
        <w:rPr>
          <w:rFonts w:cs="Times New Roman"/>
          <w:szCs w:val="24"/>
        </w:rPr>
        <w:t xml:space="preserve">as </w:t>
      </w:r>
      <w:r w:rsidR="00C73647">
        <w:rPr>
          <w:rFonts w:cs="Times New Roman"/>
          <w:szCs w:val="24"/>
        </w:rPr>
        <w:t xml:space="preserve"> </w:t>
      </w:r>
      <w:r w:rsidR="00C73647" w:rsidRPr="006A47E5">
        <w:rPr>
          <w:rFonts w:cs="Times New Roman"/>
          <w:szCs w:val="24"/>
        </w:rPr>
        <w:t>W</w:t>
      </w:r>
      <w:r w:rsidR="00C73647">
        <w:rPr>
          <w:rFonts w:cs="Times New Roman"/>
          <w:szCs w:val="24"/>
        </w:rPr>
        <w:t>W</w:t>
      </w:r>
      <w:r w:rsidR="00C73647" w:rsidRPr="006A47E5">
        <w:rPr>
          <w:rFonts w:cs="Times New Roman"/>
          <w:szCs w:val="24"/>
        </w:rPr>
        <w:t xml:space="preserve"> </w:t>
      </w:r>
      <w:proofErr w:type="spellStart"/>
      <w:r w:rsidR="00C73647" w:rsidRPr="006A47E5">
        <w:rPr>
          <w:rFonts w:cs="Times New Roman"/>
          <w:szCs w:val="24"/>
        </w:rPr>
        <w:t>Transporter</w:t>
      </w:r>
      <w:proofErr w:type="spellEnd"/>
      <w:r w:rsidR="00C73647">
        <w:rPr>
          <w:rFonts w:cs="Times New Roman"/>
          <w:szCs w:val="24"/>
        </w:rPr>
        <w:t xml:space="preserve"> (</w:t>
      </w:r>
      <w:r w:rsidR="00C73647" w:rsidRPr="006A47E5">
        <w:rPr>
          <w:rFonts w:cs="Times New Roman"/>
          <w:szCs w:val="24"/>
        </w:rPr>
        <w:t>2007</w:t>
      </w:r>
      <w:r w:rsidR="00C73647">
        <w:rPr>
          <w:rFonts w:cs="Times New Roman"/>
          <w:szCs w:val="24"/>
        </w:rPr>
        <w:t>m.)</w:t>
      </w:r>
      <w:r w:rsidR="007A4928">
        <w:rPr>
          <w:rFonts w:cs="Times New Roman"/>
          <w:szCs w:val="24"/>
        </w:rPr>
        <w:t>.</w:t>
      </w:r>
      <w:r w:rsidR="00C73647">
        <w:rPr>
          <w:rFonts w:cs="Times New Roman"/>
          <w:szCs w:val="24"/>
        </w:rPr>
        <w:t xml:space="preserve"> </w:t>
      </w:r>
      <w:r w:rsidR="007A4928">
        <w:rPr>
          <w:rFonts w:cs="Times New Roman"/>
          <w:szCs w:val="24"/>
        </w:rPr>
        <w:t>Šiai ugdymo įstaigai labai svarbu laiku parūpinti naują/kitą bent vieną transporto priemonę.</w:t>
      </w:r>
    </w:p>
    <w:p w14:paraId="635E2E2B" w14:textId="1FF0BA33" w:rsidR="00C73647" w:rsidRDefault="007A4928" w:rsidP="00DD56F9">
      <w:pPr>
        <w:spacing w:line="360" w:lineRule="auto"/>
        <w:jc w:val="both"/>
        <w:rPr>
          <w:rFonts w:cs="Times New Roman"/>
          <w:szCs w:val="24"/>
        </w:rPr>
      </w:pPr>
      <w:r>
        <w:rPr>
          <w:rFonts w:cs="Times New Roman"/>
          <w:szCs w:val="24"/>
        </w:rPr>
        <w:t xml:space="preserve">Prastos būklės </w:t>
      </w:r>
      <w:r w:rsidR="00C73647">
        <w:rPr>
          <w:rFonts w:cs="Times New Roman"/>
          <w:szCs w:val="24"/>
        </w:rPr>
        <w:t>Alantos gimnazij</w:t>
      </w:r>
      <w:r>
        <w:rPr>
          <w:rFonts w:cs="Times New Roman"/>
          <w:szCs w:val="24"/>
        </w:rPr>
        <w:t>os</w:t>
      </w:r>
      <w:r w:rsidR="00C73647">
        <w:rPr>
          <w:rFonts w:cs="Times New Roman"/>
          <w:szCs w:val="24"/>
        </w:rPr>
        <w:t xml:space="preserve">  </w:t>
      </w:r>
      <w:proofErr w:type="spellStart"/>
      <w:r w:rsidR="00C73647">
        <w:rPr>
          <w:rFonts w:cs="Times New Roman"/>
          <w:szCs w:val="24"/>
        </w:rPr>
        <w:t>Iveco</w:t>
      </w:r>
      <w:proofErr w:type="spellEnd"/>
      <w:r w:rsidR="00C73647">
        <w:rPr>
          <w:rFonts w:cs="Times New Roman"/>
          <w:szCs w:val="24"/>
        </w:rPr>
        <w:t xml:space="preserve"> </w:t>
      </w:r>
      <w:proofErr w:type="spellStart"/>
      <w:r w:rsidR="00C73647">
        <w:rPr>
          <w:rFonts w:cs="Times New Roman"/>
          <w:szCs w:val="24"/>
        </w:rPr>
        <w:t>Daily</w:t>
      </w:r>
      <w:proofErr w:type="spellEnd"/>
      <w:r w:rsidR="00C73647">
        <w:rPr>
          <w:rFonts w:cs="Times New Roman"/>
          <w:szCs w:val="24"/>
        </w:rPr>
        <w:t xml:space="preserve"> (2009m.) ir Ford </w:t>
      </w:r>
      <w:proofErr w:type="spellStart"/>
      <w:r w:rsidR="00C73647">
        <w:rPr>
          <w:rFonts w:cs="Times New Roman"/>
          <w:szCs w:val="24"/>
        </w:rPr>
        <w:t>Transit</w:t>
      </w:r>
      <w:proofErr w:type="spellEnd"/>
      <w:r>
        <w:rPr>
          <w:rFonts w:cs="Times New Roman"/>
          <w:szCs w:val="24"/>
        </w:rPr>
        <w:t xml:space="preserve"> </w:t>
      </w:r>
      <w:r w:rsidR="00C73647">
        <w:rPr>
          <w:rFonts w:cs="Times New Roman"/>
          <w:szCs w:val="24"/>
        </w:rPr>
        <w:t>(2006 m.)</w:t>
      </w:r>
      <w:r>
        <w:rPr>
          <w:rFonts w:cs="Times New Roman"/>
          <w:szCs w:val="24"/>
        </w:rPr>
        <w:t>,</w:t>
      </w:r>
      <w:r w:rsidR="00C73647">
        <w:rPr>
          <w:rFonts w:cs="Times New Roman"/>
          <w:szCs w:val="24"/>
        </w:rPr>
        <w:t xml:space="preserve"> Giedraičių gimnazijo</w:t>
      </w:r>
      <w:r>
        <w:rPr>
          <w:rFonts w:cs="Times New Roman"/>
          <w:szCs w:val="24"/>
        </w:rPr>
        <w:t>s</w:t>
      </w:r>
      <w:r w:rsidR="00C73647">
        <w:rPr>
          <w:rFonts w:cs="Times New Roman"/>
          <w:szCs w:val="24"/>
        </w:rPr>
        <w:t xml:space="preserve"> </w:t>
      </w:r>
      <w:r>
        <w:rPr>
          <w:rFonts w:cs="Times New Roman"/>
          <w:szCs w:val="24"/>
        </w:rPr>
        <w:t>W</w:t>
      </w:r>
      <w:r w:rsidR="00C73647">
        <w:rPr>
          <w:rFonts w:cs="Times New Roman"/>
          <w:szCs w:val="24"/>
        </w:rPr>
        <w:t xml:space="preserve">W </w:t>
      </w:r>
      <w:proofErr w:type="spellStart"/>
      <w:r w:rsidR="00C73647">
        <w:rPr>
          <w:rFonts w:cs="Times New Roman"/>
          <w:szCs w:val="24"/>
        </w:rPr>
        <w:t>Crafter</w:t>
      </w:r>
      <w:proofErr w:type="spellEnd"/>
      <w:r w:rsidR="00C73647">
        <w:rPr>
          <w:rFonts w:cs="Times New Roman"/>
          <w:szCs w:val="24"/>
        </w:rPr>
        <w:t xml:space="preserve"> (2018 m.)</w:t>
      </w:r>
      <w:r>
        <w:rPr>
          <w:rFonts w:cs="Times New Roman"/>
          <w:szCs w:val="24"/>
        </w:rPr>
        <w:t>.</w:t>
      </w:r>
      <w:r w:rsidRPr="007A4928">
        <w:rPr>
          <w:rFonts w:cs="Times New Roman"/>
          <w:szCs w:val="24"/>
        </w:rPr>
        <w:t xml:space="preserve"> </w:t>
      </w:r>
    </w:p>
    <w:p w14:paraId="2F1E1252" w14:textId="1B697542" w:rsidR="00C73647" w:rsidRDefault="007A4928" w:rsidP="00DD56F9">
      <w:pPr>
        <w:spacing w:line="360" w:lineRule="auto"/>
        <w:jc w:val="both"/>
        <w:rPr>
          <w:rFonts w:cs="Times New Roman"/>
          <w:szCs w:val="24"/>
        </w:rPr>
      </w:pPr>
      <w:r>
        <w:rPr>
          <w:rFonts w:cs="Times New Roman"/>
          <w:szCs w:val="24"/>
        </w:rPr>
        <w:t xml:space="preserve">Problema sprendžiama. </w:t>
      </w:r>
      <w:r w:rsidR="00C73647">
        <w:rPr>
          <w:rFonts w:cs="Times New Roman"/>
          <w:szCs w:val="24"/>
        </w:rPr>
        <w:t xml:space="preserve">2024 m. </w:t>
      </w:r>
      <w:r>
        <w:rPr>
          <w:rFonts w:cs="Times New Roman"/>
          <w:szCs w:val="24"/>
        </w:rPr>
        <w:t xml:space="preserve">savivaldybės lėšomis įsigyti </w:t>
      </w:r>
      <w:r w:rsidR="00C73647">
        <w:rPr>
          <w:rFonts w:cs="Times New Roman"/>
          <w:szCs w:val="24"/>
        </w:rPr>
        <w:t xml:space="preserve"> nauj</w:t>
      </w:r>
      <w:r>
        <w:rPr>
          <w:rFonts w:cs="Times New Roman"/>
          <w:szCs w:val="24"/>
        </w:rPr>
        <w:t>i</w:t>
      </w:r>
      <w:r w:rsidR="00C73647">
        <w:rPr>
          <w:rFonts w:cs="Times New Roman"/>
          <w:szCs w:val="24"/>
        </w:rPr>
        <w:t xml:space="preserve"> elektriniai autobusai</w:t>
      </w:r>
      <w:r>
        <w:rPr>
          <w:rFonts w:cs="Times New Roman"/>
          <w:szCs w:val="24"/>
        </w:rPr>
        <w:t xml:space="preserve"> 2024 m. bus </w:t>
      </w:r>
      <w:r w:rsidR="00C73647">
        <w:rPr>
          <w:rFonts w:cs="Times New Roman"/>
          <w:szCs w:val="24"/>
        </w:rPr>
        <w:t xml:space="preserve"> </w:t>
      </w:r>
      <w:r>
        <w:rPr>
          <w:rFonts w:cs="Times New Roman"/>
          <w:szCs w:val="24"/>
        </w:rPr>
        <w:t>perduoti</w:t>
      </w:r>
      <w:r w:rsidR="00C73647">
        <w:rPr>
          <w:rFonts w:cs="Times New Roman"/>
          <w:szCs w:val="24"/>
        </w:rPr>
        <w:t xml:space="preserve"> Alantos ir Giedraičių gimnazijo</w:t>
      </w:r>
      <w:r>
        <w:rPr>
          <w:rFonts w:cs="Times New Roman"/>
          <w:szCs w:val="24"/>
        </w:rPr>
        <w:t>m</w:t>
      </w:r>
      <w:r w:rsidR="00C73647">
        <w:rPr>
          <w:rFonts w:cs="Times New Roman"/>
          <w:szCs w:val="24"/>
        </w:rPr>
        <w:t>s.</w:t>
      </w:r>
      <w:r>
        <w:rPr>
          <w:rFonts w:cs="Times New Roman"/>
          <w:szCs w:val="24"/>
        </w:rPr>
        <w:t xml:space="preserve"> Atviras išlieka </w:t>
      </w:r>
      <w:proofErr w:type="spellStart"/>
      <w:r>
        <w:rPr>
          <w:rFonts w:cs="Times New Roman"/>
          <w:szCs w:val="24"/>
        </w:rPr>
        <w:t>Kijėlių</w:t>
      </w:r>
      <w:proofErr w:type="spellEnd"/>
      <w:r>
        <w:rPr>
          <w:rFonts w:cs="Times New Roman"/>
          <w:szCs w:val="24"/>
        </w:rPr>
        <w:t xml:space="preserve"> SUC</w:t>
      </w:r>
      <w:r w:rsidR="00D10DC6">
        <w:rPr>
          <w:rFonts w:cs="Times New Roman"/>
          <w:szCs w:val="24"/>
        </w:rPr>
        <w:t xml:space="preserve"> aprūpinimo mokykliniu transportu</w:t>
      </w:r>
      <w:r>
        <w:rPr>
          <w:rFonts w:cs="Times New Roman"/>
          <w:szCs w:val="24"/>
        </w:rPr>
        <w:t xml:space="preserve"> klausimas.</w:t>
      </w:r>
    </w:p>
    <w:p w14:paraId="69AC3C11" w14:textId="698C0F2F" w:rsidR="00DD56F9" w:rsidRPr="00757151" w:rsidRDefault="004D16E7" w:rsidP="00DD56F9">
      <w:pPr>
        <w:spacing w:line="360" w:lineRule="auto"/>
        <w:jc w:val="both"/>
        <w:rPr>
          <w:rFonts w:cs="Times New Roman"/>
          <w:szCs w:val="24"/>
        </w:rPr>
      </w:pPr>
      <w:r>
        <w:rPr>
          <w:rFonts w:cs="Times New Roman"/>
          <w:szCs w:val="24"/>
        </w:rPr>
        <w:t xml:space="preserve">        </w:t>
      </w:r>
      <w:r w:rsidR="00DD56F9">
        <w:rPr>
          <w:rFonts w:cs="Times New Roman"/>
          <w:szCs w:val="24"/>
        </w:rPr>
        <w:t xml:space="preserve">2024 m. skyriaus be įprastų funkcijų  laukia mokyklų tinklo </w:t>
      </w:r>
      <w:r w:rsidR="00DD56F9" w:rsidRPr="005D2031">
        <w:rPr>
          <w:rFonts w:cs="Times New Roman"/>
          <w:szCs w:val="24"/>
        </w:rPr>
        <w:t>pertvarkos,</w:t>
      </w:r>
      <w:r w:rsidR="00DD56F9">
        <w:rPr>
          <w:rFonts w:cs="Times New Roman"/>
          <w:szCs w:val="24"/>
        </w:rPr>
        <w:t xml:space="preserve"> pirmą kartą vykdomų tarpinių mokinių pasiekimų patikrinimų, privalomojo įtraukiojo ugdymo,  pasirašytos Tūkstantmečio mokyklų programos priemonių įgyvendinimo, dalyvavimo kituose projektuose,</w:t>
      </w:r>
      <w:r w:rsidR="00DD56F9" w:rsidRPr="00DD56F9">
        <w:rPr>
          <w:rFonts w:cs="Times New Roman"/>
          <w:szCs w:val="24"/>
        </w:rPr>
        <w:t xml:space="preserve"> </w:t>
      </w:r>
      <w:r w:rsidR="00DD56F9">
        <w:rPr>
          <w:rFonts w:cs="Times New Roman"/>
          <w:szCs w:val="24"/>
        </w:rPr>
        <w:t xml:space="preserve">pilno atnaujintų programų įdiegimo mokyklose </w:t>
      </w:r>
      <w:r>
        <w:rPr>
          <w:rFonts w:cs="Times New Roman"/>
          <w:szCs w:val="24"/>
        </w:rPr>
        <w:t xml:space="preserve">ir kiti </w:t>
      </w:r>
      <w:r w:rsidR="00DD56F9">
        <w:rPr>
          <w:rFonts w:cs="Times New Roman"/>
          <w:szCs w:val="24"/>
        </w:rPr>
        <w:t>iššūkiai</w:t>
      </w:r>
      <w:r>
        <w:rPr>
          <w:rFonts w:cs="Times New Roman"/>
          <w:szCs w:val="24"/>
        </w:rPr>
        <w:t xml:space="preserve">. </w:t>
      </w:r>
    </w:p>
    <w:p w14:paraId="29225BF5" w14:textId="77777777" w:rsidR="00C73647" w:rsidRPr="00AA4CE0" w:rsidRDefault="00C73647" w:rsidP="00DD56F9">
      <w:pPr>
        <w:spacing w:line="360" w:lineRule="auto"/>
        <w:jc w:val="both"/>
        <w:rPr>
          <w:color w:val="333333"/>
        </w:rPr>
      </w:pPr>
    </w:p>
    <w:p w14:paraId="3833FFAD" w14:textId="77777777" w:rsidR="006B02DD" w:rsidRPr="00A44ADC" w:rsidRDefault="006B02DD" w:rsidP="00DD56F9">
      <w:pPr>
        <w:autoSpaceDE w:val="0"/>
        <w:autoSpaceDN w:val="0"/>
        <w:adjustRightInd w:val="0"/>
        <w:spacing w:line="360" w:lineRule="auto"/>
        <w:jc w:val="both"/>
      </w:pPr>
    </w:p>
    <w:sectPr w:rsidR="006B02DD" w:rsidRPr="00A44ADC" w:rsidSect="00E00E6E">
      <w:pgSz w:w="11906" w:h="16838"/>
      <w:pgMar w:top="851" w:right="567"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0BF0" w14:textId="77777777" w:rsidR="00ED28D7" w:rsidRDefault="00ED28D7" w:rsidP="00ED28D7">
      <w:pPr>
        <w:spacing w:after="0" w:line="240" w:lineRule="auto"/>
      </w:pPr>
      <w:r>
        <w:separator/>
      </w:r>
    </w:p>
  </w:endnote>
  <w:endnote w:type="continuationSeparator" w:id="0">
    <w:p w14:paraId="29F6C953" w14:textId="77777777" w:rsidR="00ED28D7" w:rsidRDefault="00ED28D7" w:rsidP="00ED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crosoft Sans Serif">
    <w:panose1 w:val="020B0604020202020204"/>
    <w:charset w:val="BA"/>
    <w:family w:val="swiss"/>
    <w:pitch w:val="variable"/>
    <w:sig w:usb0="E5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57DC" w14:textId="77777777" w:rsidR="00ED28D7" w:rsidRDefault="00ED28D7" w:rsidP="00ED28D7">
      <w:pPr>
        <w:spacing w:after="0" w:line="240" w:lineRule="auto"/>
      </w:pPr>
      <w:r>
        <w:separator/>
      </w:r>
    </w:p>
  </w:footnote>
  <w:footnote w:type="continuationSeparator" w:id="0">
    <w:p w14:paraId="394E57D1" w14:textId="77777777" w:rsidR="00ED28D7" w:rsidRDefault="00ED28D7" w:rsidP="00ED2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06"/>
    <w:rsid w:val="00051B18"/>
    <w:rsid w:val="000924FF"/>
    <w:rsid w:val="000A3FBA"/>
    <w:rsid w:val="000A4276"/>
    <w:rsid w:val="000B39D3"/>
    <w:rsid w:val="00106515"/>
    <w:rsid w:val="00106868"/>
    <w:rsid w:val="00163B39"/>
    <w:rsid w:val="00170687"/>
    <w:rsid w:val="00183512"/>
    <w:rsid w:val="00200960"/>
    <w:rsid w:val="00215255"/>
    <w:rsid w:val="00280CA1"/>
    <w:rsid w:val="00333995"/>
    <w:rsid w:val="00375E08"/>
    <w:rsid w:val="003A745D"/>
    <w:rsid w:val="003B5CFB"/>
    <w:rsid w:val="003B6681"/>
    <w:rsid w:val="004208D7"/>
    <w:rsid w:val="00446176"/>
    <w:rsid w:val="004649EF"/>
    <w:rsid w:val="004771CA"/>
    <w:rsid w:val="004916C2"/>
    <w:rsid w:val="004C4DB6"/>
    <w:rsid w:val="004D16E7"/>
    <w:rsid w:val="00516B95"/>
    <w:rsid w:val="005937FB"/>
    <w:rsid w:val="005C22A3"/>
    <w:rsid w:val="005D0FB1"/>
    <w:rsid w:val="005D2031"/>
    <w:rsid w:val="005F7313"/>
    <w:rsid w:val="0061352A"/>
    <w:rsid w:val="00640A3C"/>
    <w:rsid w:val="00644E72"/>
    <w:rsid w:val="00676DB9"/>
    <w:rsid w:val="006815EC"/>
    <w:rsid w:val="006B02DD"/>
    <w:rsid w:val="006B33BA"/>
    <w:rsid w:val="006D4956"/>
    <w:rsid w:val="006E5631"/>
    <w:rsid w:val="0072696B"/>
    <w:rsid w:val="00730ACA"/>
    <w:rsid w:val="00751D27"/>
    <w:rsid w:val="007564AF"/>
    <w:rsid w:val="007A4928"/>
    <w:rsid w:val="007D6C88"/>
    <w:rsid w:val="0082037F"/>
    <w:rsid w:val="00846C99"/>
    <w:rsid w:val="008A1FC4"/>
    <w:rsid w:val="008A6C24"/>
    <w:rsid w:val="008B66FD"/>
    <w:rsid w:val="00915169"/>
    <w:rsid w:val="00922423"/>
    <w:rsid w:val="00965B90"/>
    <w:rsid w:val="009D627A"/>
    <w:rsid w:val="00A00670"/>
    <w:rsid w:val="00A23DC2"/>
    <w:rsid w:val="00A959DA"/>
    <w:rsid w:val="00A95E11"/>
    <w:rsid w:val="00AD7928"/>
    <w:rsid w:val="00B23206"/>
    <w:rsid w:val="00B3035A"/>
    <w:rsid w:val="00B6646E"/>
    <w:rsid w:val="00B914BE"/>
    <w:rsid w:val="00BA5F2C"/>
    <w:rsid w:val="00BB0719"/>
    <w:rsid w:val="00C04188"/>
    <w:rsid w:val="00C34C71"/>
    <w:rsid w:val="00C56314"/>
    <w:rsid w:val="00C73647"/>
    <w:rsid w:val="00C931C6"/>
    <w:rsid w:val="00D10DC6"/>
    <w:rsid w:val="00D225CB"/>
    <w:rsid w:val="00D305A6"/>
    <w:rsid w:val="00D56723"/>
    <w:rsid w:val="00D6313F"/>
    <w:rsid w:val="00D63959"/>
    <w:rsid w:val="00D644BB"/>
    <w:rsid w:val="00D82129"/>
    <w:rsid w:val="00DD142B"/>
    <w:rsid w:val="00DD56F9"/>
    <w:rsid w:val="00E00E6E"/>
    <w:rsid w:val="00E220A4"/>
    <w:rsid w:val="00E27391"/>
    <w:rsid w:val="00ED28D7"/>
    <w:rsid w:val="00EE52B1"/>
    <w:rsid w:val="00EF7C1E"/>
    <w:rsid w:val="00F04C1E"/>
    <w:rsid w:val="00F27B0E"/>
    <w:rsid w:val="00F556A3"/>
    <w:rsid w:val="00F71EB9"/>
    <w:rsid w:val="00F73DAB"/>
    <w:rsid w:val="00F95378"/>
    <w:rsid w:val="00FC2F3A"/>
    <w:rsid w:val="00FD69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58DE"/>
  <w15:chartTrackingRefBased/>
  <w15:docId w15:val="{C3F62642-134E-49A8-9A4E-42921C79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5631"/>
    <w:rPr>
      <w:rFonts w:ascii="Times New Roman" w:hAnsi="Times New Roman"/>
      <w:sz w:val="24"/>
    </w:rPr>
  </w:style>
  <w:style w:type="paragraph" w:styleId="Antrat1">
    <w:name w:val="heading 1"/>
    <w:basedOn w:val="prastasis"/>
    <w:next w:val="prastasis"/>
    <w:link w:val="Antrat1Diagrama"/>
    <w:uiPriority w:val="9"/>
    <w:qFormat/>
    <w:rsid w:val="00B23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23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232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232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23206"/>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B232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23206"/>
    <w:pPr>
      <w:keepNext/>
      <w:keepLines/>
      <w:spacing w:before="40" w:after="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B23206"/>
    <w:pPr>
      <w:keepNext/>
      <w:keepLines/>
      <w:spacing w:after="0"/>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23206"/>
    <w:pPr>
      <w:keepNext/>
      <w:keepLines/>
      <w:spacing w:after="0"/>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2320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2320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2320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23206"/>
    <w:rPr>
      <w:rFonts w:eastAsiaTheme="majorEastAsia" w:cstheme="majorBidi"/>
      <w:i/>
      <w:iCs/>
      <w:color w:val="0F4761" w:themeColor="accent1" w:themeShade="BF"/>
      <w:sz w:val="24"/>
    </w:rPr>
  </w:style>
  <w:style w:type="character" w:customStyle="1" w:styleId="Antrat5Diagrama">
    <w:name w:val="Antraštė 5 Diagrama"/>
    <w:basedOn w:val="Numatytasispastraiposriftas"/>
    <w:link w:val="Antrat5"/>
    <w:uiPriority w:val="9"/>
    <w:semiHidden/>
    <w:rsid w:val="00B23206"/>
    <w:rPr>
      <w:rFonts w:eastAsiaTheme="majorEastAsia" w:cstheme="majorBidi"/>
      <w:color w:val="0F4761" w:themeColor="accent1" w:themeShade="BF"/>
      <w:sz w:val="24"/>
    </w:rPr>
  </w:style>
  <w:style w:type="character" w:customStyle="1" w:styleId="Antrat6Diagrama">
    <w:name w:val="Antraštė 6 Diagrama"/>
    <w:basedOn w:val="Numatytasispastraiposriftas"/>
    <w:link w:val="Antrat6"/>
    <w:uiPriority w:val="9"/>
    <w:semiHidden/>
    <w:rsid w:val="00B23206"/>
    <w:rPr>
      <w:rFonts w:eastAsiaTheme="majorEastAsia" w:cstheme="majorBidi"/>
      <w:i/>
      <w:iCs/>
      <w:color w:val="595959" w:themeColor="text1" w:themeTint="A6"/>
      <w:sz w:val="24"/>
    </w:rPr>
  </w:style>
  <w:style w:type="character" w:customStyle="1" w:styleId="Antrat7Diagrama">
    <w:name w:val="Antraštė 7 Diagrama"/>
    <w:basedOn w:val="Numatytasispastraiposriftas"/>
    <w:link w:val="Antrat7"/>
    <w:uiPriority w:val="9"/>
    <w:semiHidden/>
    <w:rsid w:val="00B23206"/>
    <w:rPr>
      <w:rFonts w:eastAsiaTheme="majorEastAsia" w:cstheme="majorBidi"/>
      <w:color w:val="595959" w:themeColor="text1" w:themeTint="A6"/>
      <w:sz w:val="24"/>
    </w:rPr>
  </w:style>
  <w:style w:type="character" w:customStyle="1" w:styleId="Antrat8Diagrama">
    <w:name w:val="Antraštė 8 Diagrama"/>
    <w:basedOn w:val="Numatytasispastraiposriftas"/>
    <w:link w:val="Antrat8"/>
    <w:uiPriority w:val="9"/>
    <w:semiHidden/>
    <w:rsid w:val="00B23206"/>
    <w:rPr>
      <w:rFonts w:eastAsiaTheme="majorEastAsia" w:cstheme="majorBidi"/>
      <w:i/>
      <w:iCs/>
      <w:color w:val="272727" w:themeColor="text1" w:themeTint="D8"/>
      <w:sz w:val="24"/>
    </w:rPr>
  </w:style>
  <w:style w:type="character" w:customStyle="1" w:styleId="Antrat9Diagrama">
    <w:name w:val="Antraštė 9 Diagrama"/>
    <w:basedOn w:val="Numatytasispastraiposriftas"/>
    <w:link w:val="Antrat9"/>
    <w:uiPriority w:val="9"/>
    <w:semiHidden/>
    <w:rsid w:val="00B23206"/>
    <w:rPr>
      <w:rFonts w:eastAsiaTheme="majorEastAsia" w:cstheme="majorBidi"/>
      <w:color w:val="272727" w:themeColor="text1" w:themeTint="D8"/>
      <w:sz w:val="24"/>
    </w:rPr>
  </w:style>
  <w:style w:type="paragraph" w:styleId="Pavadinimas">
    <w:name w:val="Title"/>
    <w:basedOn w:val="prastasis"/>
    <w:next w:val="prastasis"/>
    <w:link w:val="PavadinimasDiagrama"/>
    <w:uiPriority w:val="10"/>
    <w:qFormat/>
    <w:rsid w:val="00B23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2320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232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2320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2320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23206"/>
    <w:rPr>
      <w:rFonts w:ascii="Times New Roman" w:hAnsi="Times New Roman"/>
      <w:i/>
      <w:iCs/>
      <w:color w:val="404040" w:themeColor="text1" w:themeTint="BF"/>
      <w:sz w:val="24"/>
    </w:rPr>
  </w:style>
  <w:style w:type="paragraph" w:styleId="Sraopastraipa">
    <w:name w:val="List Paragraph"/>
    <w:basedOn w:val="prastasis"/>
    <w:uiPriority w:val="34"/>
    <w:qFormat/>
    <w:rsid w:val="00B23206"/>
    <w:pPr>
      <w:ind w:left="720"/>
      <w:contextualSpacing/>
    </w:pPr>
  </w:style>
  <w:style w:type="character" w:styleId="Rykuspabraukimas">
    <w:name w:val="Intense Emphasis"/>
    <w:basedOn w:val="Numatytasispastraiposriftas"/>
    <w:uiPriority w:val="21"/>
    <w:qFormat/>
    <w:rsid w:val="00B23206"/>
    <w:rPr>
      <w:i/>
      <w:iCs/>
      <w:color w:val="0F4761" w:themeColor="accent1" w:themeShade="BF"/>
    </w:rPr>
  </w:style>
  <w:style w:type="paragraph" w:styleId="Iskirtacitata">
    <w:name w:val="Intense Quote"/>
    <w:basedOn w:val="prastasis"/>
    <w:next w:val="prastasis"/>
    <w:link w:val="IskirtacitataDiagrama"/>
    <w:uiPriority w:val="30"/>
    <w:qFormat/>
    <w:rsid w:val="00B23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23206"/>
    <w:rPr>
      <w:rFonts w:ascii="Times New Roman" w:hAnsi="Times New Roman"/>
      <w:i/>
      <w:iCs/>
      <w:color w:val="0F4761" w:themeColor="accent1" w:themeShade="BF"/>
      <w:sz w:val="24"/>
    </w:rPr>
  </w:style>
  <w:style w:type="character" w:styleId="Rykinuoroda">
    <w:name w:val="Intense Reference"/>
    <w:basedOn w:val="Numatytasispastraiposriftas"/>
    <w:uiPriority w:val="32"/>
    <w:qFormat/>
    <w:rsid w:val="00B23206"/>
    <w:rPr>
      <w:b/>
      <w:bCs/>
      <w:smallCaps/>
      <w:color w:val="0F4761" w:themeColor="accent1" w:themeShade="BF"/>
      <w:spacing w:val="5"/>
    </w:rPr>
  </w:style>
  <w:style w:type="table" w:styleId="Lentelstinklelis">
    <w:name w:val="Table Grid"/>
    <w:basedOn w:val="prastojilentel"/>
    <w:uiPriority w:val="39"/>
    <w:rsid w:val="004771CA"/>
    <w:pPr>
      <w:spacing w:after="0" w:line="240" w:lineRule="auto"/>
    </w:pPr>
    <w:rPr>
      <w:rFonts w:ascii="Times New Roman" w:eastAsia="Times New Roman" w:hAnsi="Times New Roman" w:cs="Times New Roman"/>
      <w:kern w:val="0"/>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E220A4"/>
    <w:rPr>
      <w:rFonts w:ascii="Times New Roman" w:eastAsia="Times New Roman" w:hAnsi="Times New Roman" w:cs="Times New Roman"/>
      <w:kern w:val="0"/>
      <w:sz w:val="2"/>
      <w:szCs w:val="20"/>
      <w:lang w:eastAsia="lt-LT"/>
      <w14:ligatures w14:val="none"/>
    </w:rPr>
  </w:style>
  <w:style w:type="paragraph" w:styleId="Antrats">
    <w:name w:val="header"/>
    <w:basedOn w:val="prastasis"/>
    <w:link w:val="AntratsDiagrama"/>
    <w:uiPriority w:val="99"/>
    <w:unhideWhenUsed/>
    <w:rsid w:val="00ED28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8D7"/>
    <w:rPr>
      <w:rFonts w:ascii="Times New Roman" w:hAnsi="Times New Roman"/>
      <w:sz w:val="24"/>
    </w:rPr>
  </w:style>
  <w:style w:type="paragraph" w:styleId="Porat">
    <w:name w:val="footer"/>
    <w:basedOn w:val="prastasis"/>
    <w:link w:val="PoratDiagrama"/>
    <w:uiPriority w:val="99"/>
    <w:unhideWhenUsed/>
    <w:rsid w:val="00ED28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8D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273945">
      <w:bodyDiv w:val="1"/>
      <w:marLeft w:val="0"/>
      <w:marRight w:val="0"/>
      <w:marTop w:val="0"/>
      <w:marBottom w:val="0"/>
      <w:divBdr>
        <w:top w:val="none" w:sz="0" w:space="0" w:color="auto"/>
        <w:left w:val="none" w:sz="0" w:space="0" w:color="auto"/>
        <w:bottom w:val="none" w:sz="0" w:space="0" w:color="auto"/>
        <w:right w:val="none" w:sz="0" w:space="0" w:color="auto"/>
      </w:divBdr>
    </w:div>
    <w:div w:id="19276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891891891891893"/>
          <c:y val="6.3973063973063973E-2"/>
          <c:w val="0.70540540540540542"/>
          <c:h val="0.85858585858585856"/>
        </c:manualLayout>
      </c:layout>
      <c:bar3DChart>
        <c:barDir val="col"/>
        <c:grouping val="clustered"/>
        <c:varyColors val="0"/>
        <c:ser>
          <c:idx val="0"/>
          <c:order val="0"/>
          <c:tx>
            <c:strRef>
              <c:f>Sheet1!$A$2</c:f>
              <c:strCache>
                <c:ptCount val="1"/>
                <c:pt idx="0">
                  <c:v>2018 - 2019 m. m.</c:v>
                </c:pt>
              </c:strCache>
            </c:strRef>
          </c:tx>
          <c:spPr>
            <a:solidFill>
              <a:srgbClr val="9999FF"/>
            </a:solidFill>
            <a:ln w="11918">
              <a:solidFill>
                <a:srgbClr val="000000"/>
              </a:solidFill>
              <a:prstDash val="solid"/>
            </a:ln>
          </c:spPr>
          <c:invertIfNegative val="0"/>
          <c:dLbls>
            <c:dLbl>
              <c:idx val="0"/>
              <c:layout>
                <c:manualLayout>
                  <c:x val="1.8729570912595306E-2"/>
                  <c:y val="-1.3082303085860419E-2"/>
                </c:manualLayout>
              </c:layout>
              <c:spPr>
                <a:noFill/>
                <a:ln w="23835">
                  <a:noFill/>
                </a:ln>
              </c:spPr>
              <c:txPr>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08-421D-8B42-46E4B7B9EA06}"/>
                </c:ext>
              </c:extLst>
            </c:dLbl>
            <c:spPr>
              <a:noFill/>
              <a:ln w="23835">
                <a:noFill/>
              </a:ln>
            </c:spPr>
            <c:txPr>
              <a:bodyPr wrap="square" lIns="38100" tIns="19050" rIns="38100" bIns="19050" anchor="ctr">
                <a:spAutoFit/>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numCache>
            </c:numRef>
          </c:cat>
          <c:val>
            <c:numRef>
              <c:f>Sheet1!$B$2:$F$2</c:f>
              <c:numCache>
                <c:formatCode>General</c:formatCode>
                <c:ptCount val="5"/>
                <c:pt idx="0">
                  <c:v>1664</c:v>
                </c:pt>
              </c:numCache>
            </c:numRef>
          </c:val>
          <c:extLst>
            <c:ext xmlns:c16="http://schemas.microsoft.com/office/drawing/2014/chart" uri="{C3380CC4-5D6E-409C-BE32-E72D297353CC}">
              <c16:uniqueId val="{00000001-FE08-421D-8B42-46E4B7B9EA06}"/>
            </c:ext>
          </c:extLst>
        </c:ser>
        <c:ser>
          <c:idx val="1"/>
          <c:order val="1"/>
          <c:tx>
            <c:strRef>
              <c:f>Sheet1!$A$3</c:f>
              <c:strCache>
                <c:ptCount val="1"/>
                <c:pt idx="0">
                  <c:v>2019 - 2020 m. m.</c:v>
                </c:pt>
              </c:strCache>
            </c:strRef>
          </c:tx>
          <c:spPr>
            <a:solidFill>
              <a:srgbClr val="993366"/>
            </a:solidFill>
            <a:ln w="11918">
              <a:solidFill>
                <a:srgbClr val="000000"/>
              </a:solidFill>
              <a:prstDash val="solid"/>
            </a:ln>
          </c:spPr>
          <c:invertIfNegative val="0"/>
          <c:dLbls>
            <c:dLbl>
              <c:idx val="1"/>
              <c:layout>
                <c:manualLayout>
                  <c:x val="1.8664040691444728E-2"/>
                  <c:y val="-2.015468586132918E-2"/>
                </c:manualLayout>
              </c:layout>
              <c:spPr>
                <a:noFill/>
                <a:ln w="23835">
                  <a:noFill/>
                </a:ln>
              </c:spPr>
              <c:txPr>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08-421D-8B42-46E4B7B9EA06}"/>
                </c:ext>
              </c:extLst>
            </c:dLbl>
            <c:spPr>
              <a:noFill/>
              <a:ln w="23835">
                <a:noFill/>
              </a:ln>
            </c:spPr>
            <c:txPr>
              <a:bodyPr wrap="square" lIns="38100" tIns="19050" rIns="38100" bIns="19050" anchor="ctr">
                <a:spAutoFit/>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numCache>
            </c:numRef>
          </c:cat>
          <c:val>
            <c:numRef>
              <c:f>Sheet1!$B$3:$F$3</c:f>
              <c:numCache>
                <c:formatCode>General</c:formatCode>
                <c:ptCount val="5"/>
                <c:pt idx="1">
                  <c:v>1571</c:v>
                </c:pt>
              </c:numCache>
            </c:numRef>
          </c:val>
          <c:extLst>
            <c:ext xmlns:c16="http://schemas.microsoft.com/office/drawing/2014/chart" uri="{C3380CC4-5D6E-409C-BE32-E72D297353CC}">
              <c16:uniqueId val="{00000003-FE08-421D-8B42-46E4B7B9EA06}"/>
            </c:ext>
          </c:extLst>
        </c:ser>
        <c:ser>
          <c:idx val="2"/>
          <c:order val="2"/>
          <c:tx>
            <c:strRef>
              <c:f>Sheet1!$A$4</c:f>
              <c:strCache>
                <c:ptCount val="1"/>
                <c:pt idx="0">
                  <c:v>2020 - 2021 m. m.</c:v>
                </c:pt>
              </c:strCache>
            </c:strRef>
          </c:tx>
          <c:spPr>
            <a:solidFill>
              <a:srgbClr val="FFFFCC"/>
            </a:solidFill>
            <a:ln w="11918">
              <a:solidFill>
                <a:srgbClr val="000000"/>
              </a:solidFill>
              <a:prstDash val="solid"/>
            </a:ln>
          </c:spPr>
          <c:invertIfNegative val="0"/>
          <c:dLbls>
            <c:dLbl>
              <c:idx val="2"/>
              <c:layout>
                <c:manualLayout>
                  <c:x val="1.0490402362186069E-2"/>
                  <c:y val="-1.5678451166934282E-2"/>
                </c:manualLayout>
              </c:layout>
              <c:spPr>
                <a:noFill/>
                <a:ln w="23835">
                  <a:noFill/>
                </a:ln>
              </c:spPr>
              <c:txPr>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08-421D-8B42-46E4B7B9EA06}"/>
                </c:ext>
              </c:extLst>
            </c:dLbl>
            <c:spPr>
              <a:noFill/>
              <a:ln w="23835">
                <a:noFill/>
              </a:ln>
            </c:spPr>
            <c:txPr>
              <a:bodyPr wrap="square" lIns="38100" tIns="19050" rIns="38100" bIns="19050" anchor="ctr">
                <a:spAutoFit/>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numCache>
            </c:numRef>
          </c:cat>
          <c:val>
            <c:numRef>
              <c:f>Sheet1!$B$4:$F$4</c:f>
              <c:numCache>
                <c:formatCode>General</c:formatCode>
                <c:ptCount val="5"/>
                <c:pt idx="2">
                  <c:v>1510</c:v>
                </c:pt>
              </c:numCache>
            </c:numRef>
          </c:val>
          <c:extLst>
            <c:ext xmlns:c16="http://schemas.microsoft.com/office/drawing/2014/chart" uri="{C3380CC4-5D6E-409C-BE32-E72D297353CC}">
              <c16:uniqueId val="{00000005-FE08-421D-8B42-46E4B7B9EA06}"/>
            </c:ext>
          </c:extLst>
        </c:ser>
        <c:ser>
          <c:idx val="3"/>
          <c:order val="3"/>
          <c:tx>
            <c:strRef>
              <c:f>Sheet1!$A$5</c:f>
              <c:strCache>
                <c:ptCount val="1"/>
                <c:pt idx="0">
                  <c:v>2021 - 2022 m. m.</c:v>
                </c:pt>
              </c:strCache>
            </c:strRef>
          </c:tx>
          <c:spPr>
            <a:solidFill>
              <a:srgbClr val="CCFFFF"/>
            </a:solidFill>
            <a:ln w="11918">
              <a:solidFill>
                <a:srgbClr val="000000"/>
              </a:solidFill>
              <a:prstDash val="solid"/>
            </a:ln>
          </c:spPr>
          <c:invertIfNegative val="0"/>
          <c:dLbls>
            <c:dLbl>
              <c:idx val="3"/>
              <c:layout>
                <c:manualLayout>
                  <c:x val="1.3127299287631566E-2"/>
                  <c:y val="-1.8788160720886071E-2"/>
                </c:manualLayout>
              </c:layout>
              <c:spPr>
                <a:noFill/>
                <a:ln w="23835">
                  <a:noFill/>
                </a:ln>
              </c:spPr>
              <c:txPr>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08-421D-8B42-46E4B7B9EA06}"/>
                </c:ext>
              </c:extLst>
            </c:dLbl>
            <c:spPr>
              <a:noFill/>
              <a:ln w="23835">
                <a:noFill/>
              </a:ln>
            </c:spPr>
            <c:txPr>
              <a:bodyPr wrap="square" lIns="38100" tIns="19050" rIns="38100" bIns="19050" anchor="ctr">
                <a:spAutoFit/>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numCache>
            </c:numRef>
          </c:cat>
          <c:val>
            <c:numRef>
              <c:f>Sheet1!$B$5:$F$5</c:f>
              <c:numCache>
                <c:formatCode>General</c:formatCode>
                <c:ptCount val="5"/>
                <c:pt idx="3">
                  <c:v>1485</c:v>
                </c:pt>
              </c:numCache>
            </c:numRef>
          </c:val>
          <c:extLst>
            <c:ext xmlns:c16="http://schemas.microsoft.com/office/drawing/2014/chart" uri="{C3380CC4-5D6E-409C-BE32-E72D297353CC}">
              <c16:uniqueId val="{00000007-FE08-421D-8B42-46E4B7B9EA06}"/>
            </c:ext>
          </c:extLst>
        </c:ser>
        <c:ser>
          <c:idx val="4"/>
          <c:order val="4"/>
          <c:tx>
            <c:strRef>
              <c:f>Sheet1!$A$6</c:f>
              <c:strCache>
                <c:ptCount val="1"/>
                <c:pt idx="0">
                  <c:v>2022 - 2023 m. m.</c:v>
                </c:pt>
              </c:strCache>
            </c:strRef>
          </c:tx>
          <c:spPr>
            <a:solidFill>
              <a:srgbClr val="660066"/>
            </a:solidFill>
            <a:ln w="11918">
              <a:solidFill>
                <a:srgbClr val="000000"/>
              </a:solidFill>
              <a:prstDash val="solid"/>
            </a:ln>
          </c:spPr>
          <c:invertIfNegative val="0"/>
          <c:dLbls>
            <c:dLbl>
              <c:idx val="4"/>
              <c:layout>
                <c:manualLayout>
                  <c:x val="1.3061769066481044E-2"/>
                  <c:y val="-2.2436194172513746E-2"/>
                </c:manualLayout>
              </c:layout>
              <c:spPr>
                <a:noFill/>
                <a:ln w="23835">
                  <a:noFill/>
                </a:ln>
              </c:spPr>
              <c:txPr>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08-421D-8B42-46E4B7B9EA06}"/>
                </c:ext>
              </c:extLst>
            </c:dLbl>
            <c:spPr>
              <a:noFill/>
              <a:ln w="23835">
                <a:noFill/>
              </a:ln>
            </c:spPr>
            <c:txPr>
              <a:bodyPr wrap="square" lIns="38100" tIns="19050" rIns="38100" bIns="19050" anchor="ctr">
                <a:spAutoFit/>
              </a:bodyPr>
              <a:lstStyle/>
              <a:p>
                <a:pPr>
                  <a:defRPr sz="1009"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numCache>
            </c:numRef>
          </c:cat>
          <c:val>
            <c:numRef>
              <c:f>Sheet1!$B$6:$F$6</c:f>
              <c:numCache>
                <c:formatCode>General</c:formatCode>
                <c:ptCount val="5"/>
                <c:pt idx="4">
                  <c:v>1502</c:v>
                </c:pt>
              </c:numCache>
            </c:numRef>
          </c:val>
          <c:extLst>
            <c:ext xmlns:c16="http://schemas.microsoft.com/office/drawing/2014/chart" uri="{C3380CC4-5D6E-409C-BE32-E72D297353CC}">
              <c16:uniqueId val="{00000009-FE08-421D-8B42-46E4B7B9EA06}"/>
            </c:ext>
          </c:extLst>
        </c:ser>
        <c:dLbls>
          <c:showLegendKey val="0"/>
          <c:showVal val="1"/>
          <c:showCatName val="0"/>
          <c:showSerName val="0"/>
          <c:showPercent val="0"/>
          <c:showBubbleSize val="0"/>
        </c:dLbls>
        <c:gapWidth val="150"/>
        <c:gapDepth val="0"/>
        <c:shape val="box"/>
        <c:axId val="250762975"/>
        <c:axId val="1"/>
        <c:axId val="0"/>
      </c:bar3DChart>
      <c:catAx>
        <c:axId val="250762975"/>
        <c:scaling>
          <c:orientation val="minMax"/>
        </c:scaling>
        <c:delete val="0"/>
        <c:axPos val="b"/>
        <c:numFmt formatCode="General" sourceLinked="1"/>
        <c:majorTickMark val="out"/>
        <c:minorTickMark val="none"/>
        <c:tickLblPos val="low"/>
        <c:spPr>
          <a:ln w="2979">
            <a:solidFill>
              <a:srgbClr val="000000"/>
            </a:solidFill>
            <a:prstDash val="solid"/>
          </a:ln>
        </c:spPr>
        <c:txPr>
          <a:bodyPr rot="0" vert="horz"/>
          <a:lstStyle/>
          <a:p>
            <a:pPr>
              <a:defRPr sz="1009" b="1" i="0" u="none" strike="noStrike" baseline="0">
                <a:solidFill>
                  <a:srgbClr val="000000"/>
                </a:solidFill>
                <a:latin typeface="Calibri"/>
                <a:ea typeface="Calibri"/>
                <a:cs typeface="Calibri"/>
              </a:defRPr>
            </a:pPr>
            <a:endParaRPr lang="lt-LT"/>
          </a:p>
        </c:txPr>
        <c:crossAx val="1"/>
        <c:crosses val="autoZero"/>
        <c:auto val="1"/>
        <c:lblAlgn val="ctr"/>
        <c:lblOffset val="100"/>
        <c:tickLblSkip val="1"/>
        <c:tickMarkSkip val="1"/>
        <c:noMultiLvlLbl val="0"/>
      </c:catAx>
      <c:valAx>
        <c:axId val="1"/>
        <c:scaling>
          <c:orientation val="minMax"/>
        </c:scaling>
        <c:delete val="0"/>
        <c:axPos val="l"/>
        <c:majorGridlines>
          <c:spPr>
            <a:ln w="2979">
              <a:solidFill>
                <a:srgbClr val="000000"/>
              </a:solidFill>
              <a:prstDash val="solid"/>
            </a:ln>
          </c:spPr>
        </c:majorGridlines>
        <c:numFmt formatCode="General" sourceLinked="1"/>
        <c:majorTickMark val="out"/>
        <c:minorTickMark val="none"/>
        <c:tickLblPos val="nextTo"/>
        <c:spPr>
          <a:ln w="2979">
            <a:solidFill>
              <a:srgbClr val="000000"/>
            </a:solidFill>
            <a:prstDash val="solid"/>
          </a:ln>
        </c:spPr>
        <c:txPr>
          <a:bodyPr rot="0" vert="horz"/>
          <a:lstStyle/>
          <a:p>
            <a:pPr>
              <a:defRPr sz="1009" b="1" i="0" u="none" strike="noStrike" baseline="0">
                <a:solidFill>
                  <a:srgbClr val="000000"/>
                </a:solidFill>
                <a:latin typeface="Calibri"/>
                <a:ea typeface="Calibri"/>
                <a:cs typeface="Calibri"/>
              </a:defRPr>
            </a:pPr>
            <a:endParaRPr lang="lt-LT"/>
          </a:p>
        </c:txPr>
        <c:crossAx val="250762975"/>
        <c:crosses val="autoZero"/>
        <c:crossBetween val="between"/>
      </c:valAx>
      <c:spPr>
        <a:noFill/>
        <a:ln w="23835">
          <a:noFill/>
        </a:ln>
      </c:spPr>
    </c:plotArea>
    <c:legend>
      <c:legendPos val="r"/>
      <c:layout>
        <c:manualLayout>
          <c:xMode val="edge"/>
          <c:yMode val="edge"/>
          <c:x val="0.76894759677135305"/>
          <c:y val="0.31313131313131315"/>
          <c:w val="0.22024150418186267"/>
          <c:h val="0.54315521593684368"/>
        </c:manualLayout>
      </c:layout>
      <c:overlay val="0"/>
      <c:spPr>
        <a:noFill/>
        <a:ln w="2979">
          <a:solidFill>
            <a:srgbClr val="000000"/>
          </a:solidFill>
          <a:prstDash val="solid"/>
        </a:ln>
      </c:spPr>
      <c:txPr>
        <a:bodyPr/>
        <a:lstStyle/>
        <a:p>
          <a:pPr>
            <a:defRPr sz="924" b="1" i="0" u="none" strike="noStrike" baseline="0">
              <a:solidFill>
                <a:srgbClr val="000000"/>
              </a:solidFill>
              <a:latin typeface="Calibri"/>
              <a:ea typeface="Calibri"/>
              <a:cs typeface="Calibri"/>
            </a:defRPr>
          </a:pPr>
          <a:endParaRPr lang="lt-LT"/>
        </a:p>
      </c:txPr>
    </c:legend>
    <c:plotVisOnly val="1"/>
    <c:dispBlanksAs val="gap"/>
    <c:showDLblsOverMax val="0"/>
  </c:chart>
  <c:spPr>
    <a:noFill/>
    <a:ln>
      <a:noFill/>
    </a:ln>
  </c:spPr>
  <c:txPr>
    <a:bodyPr/>
    <a:lstStyle/>
    <a:p>
      <a:pPr>
        <a:defRPr sz="1009" b="1" i="0" u="none" strike="noStrike" baseline="0">
          <a:solidFill>
            <a:srgbClr val="000000"/>
          </a:solidFill>
          <a:latin typeface="Calibri"/>
          <a:ea typeface="Calibri"/>
          <a:cs typeface="Calibri"/>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14604</Words>
  <Characters>8325</Characters>
  <Application>Microsoft Office Word</Application>
  <DocSecurity>4</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Žalalienė</dc:creator>
  <cp:keywords/>
  <dc:description/>
  <cp:lastModifiedBy>Vilma Bačiulė</cp:lastModifiedBy>
  <cp:revision>2</cp:revision>
  <dcterms:created xsi:type="dcterms:W3CDTF">2024-02-11T12:22:00Z</dcterms:created>
  <dcterms:modified xsi:type="dcterms:W3CDTF">2024-02-11T12:22:00Z</dcterms:modified>
</cp:coreProperties>
</file>