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1414" w14:textId="2AE8EECB" w:rsidR="008F1045" w:rsidRPr="008F1045" w:rsidRDefault="008F1045" w:rsidP="008F1045">
      <w:pPr>
        <w:jc w:val="center"/>
        <w:rPr>
          <w:b/>
          <w:sz w:val="28"/>
          <w:szCs w:val="28"/>
        </w:rPr>
      </w:pPr>
      <w:r w:rsidRPr="008F1045">
        <w:rPr>
          <w:b/>
          <w:sz w:val="28"/>
          <w:szCs w:val="28"/>
        </w:rPr>
        <w:t>MOLĖTŲ RAJONO SAVIVALDYBĖS</w:t>
      </w:r>
      <w:r w:rsidR="00DD16C3">
        <w:rPr>
          <w:b/>
          <w:sz w:val="28"/>
          <w:szCs w:val="28"/>
        </w:rPr>
        <w:t xml:space="preserve">  </w:t>
      </w:r>
    </w:p>
    <w:p w14:paraId="7AD256D2" w14:textId="6B6B770B" w:rsidR="001A66BE" w:rsidRPr="00FB5CA3" w:rsidRDefault="001A66BE" w:rsidP="001A66BE">
      <w:pPr>
        <w:spacing w:line="360" w:lineRule="auto"/>
        <w:jc w:val="center"/>
        <w:rPr>
          <w:b/>
        </w:rPr>
      </w:pPr>
      <w:r w:rsidRPr="00FB5CA3">
        <w:rPr>
          <w:b/>
        </w:rPr>
        <w:t>AIŠKINAMASIS RAŠTAS</w:t>
      </w:r>
      <w:r w:rsidR="000F4E07">
        <w:rPr>
          <w:b/>
        </w:rPr>
        <w:t xml:space="preserve"> Nr. F2-</w:t>
      </w:r>
      <w:r w:rsidR="009805AA">
        <w:rPr>
          <w:b/>
        </w:rPr>
        <w:t>29</w:t>
      </w:r>
    </w:p>
    <w:p w14:paraId="7259A6C1" w14:textId="1EBE11AB" w:rsidR="001A66BE" w:rsidRPr="00FB5CA3" w:rsidRDefault="001A66BE" w:rsidP="001A66BE">
      <w:pPr>
        <w:spacing w:line="360" w:lineRule="auto"/>
        <w:jc w:val="center"/>
        <w:rPr>
          <w:b/>
        </w:rPr>
      </w:pPr>
      <w:r>
        <w:rPr>
          <w:b/>
        </w:rPr>
        <w:t>PRIE</w:t>
      </w:r>
      <w:r w:rsidRPr="00FB5CA3">
        <w:rPr>
          <w:b/>
        </w:rPr>
        <w:t xml:space="preserve"> </w:t>
      </w:r>
      <w:r>
        <w:rPr>
          <w:b/>
        </w:rPr>
        <w:t>202</w:t>
      </w:r>
      <w:r w:rsidR="00882EE7">
        <w:rPr>
          <w:b/>
        </w:rPr>
        <w:t>2</w:t>
      </w:r>
      <w:r>
        <w:rPr>
          <w:b/>
        </w:rPr>
        <w:t xml:space="preserve"> </w:t>
      </w:r>
      <w:r w:rsidRPr="00FB5CA3">
        <w:rPr>
          <w:b/>
        </w:rPr>
        <w:t>METŲ BIUDŽETO VYKDYMO</w:t>
      </w:r>
      <w:r>
        <w:rPr>
          <w:b/>
        </w:rPr>
        <w:t xml:space="preserve"> ATASKAITŲ</w:t>
      </w:r>
    </w:p>
    <w:p w14:paraId="3F4D35AF" w14:textId="77777777" w:rsidR="00CB64ED" w:rsidRDefault="00CB64ED" w:rsidP="00CB64ED">
      <w:pPr>
        <w:jc w:val="center"/>
        <w:rPr>
          <w:b/>
        </w:rPr>
      </w:pPr>
      <w:r>
        <w:rPr>
          <w:b/>
        </w:rPr>
        <w:t>I. PAJAMOS</w:t>
      </w:r>
    </w:p>
    <w:p w14:paraId="10115BFC" w14:textId="7568E117" w:rsidR="008F1045" w:rsidRDefault="008F1045" w:rsidP="008F51EE">
      <w:pPr>
        <w:spacing w:after="0" w:line="360" w:lineRule="auto"/>
      </w:pPr>
      <w:r>
        <w:rPr>
          <w:szCs w:val="24"/>
        </w:rPr>
        <w:tab/>
      </w:r>
      <w:bookmarkStart w:id="0" w:name="_Hlk64284092"/>
      <w:r w:rsidR="00BE2240" w:rsidRPr="00C472ED">
        <w:t>Molėtų rajono savivaldybės patikslintas 20</w:t>
      </w:r>
      <w:r w:rsidR="00131F5F">
        <w:t>2</w:t>
      </w:r>
      <w:r w:rsidR="00882EE7">
        <w:t>2</w:t>
      </w:r>
      <w:r w:rsidR="00BE2240" w:rsidRPr="00C472ED">
        <w:t xml:space="preserve"> m. biudžeto pajamų planas </w:t>
      </w:r>
      <w:r w:rsidR="00F63827">
        <w:t xml:space="preserve">bendra suma </w:t>
      </w:r>
      <w:r w:rsidR="00BE2240" w:rsidRPr="00C472ED">
        <w:t xml:space="preserve">įvykdytas </w:t>
      </w:r>
      <w:r w:rsidR="00296002">
        <w:t>100</w:t>
      </w:r>
      <w:r w:rsidR="00E30C03">
        <w:t xml:space="preserve"> </w:t>
      </w:r>
      <w:r w:rsidR="00BE2240" w:rsidRPr="00C472ED">
        <w:t xml:space="preserve">proc. </w:t>
      </w:r>
      <w:r w:rsidR="00BE2240">
        <w:t xml:space="preserve">Detali informacija apie </w:t>
      </w:r>
      <w:r w:rsidR="00E150CA">
        <w:t xml:space="preserve">visų </w:t>
      </w:r>
      <w:r w:rsidR="00BE2240">
        <w:t>pajamų vykdymą pagal planą ir atskiras pajamų rūšis pateikiama lentelėje: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660"/>
        <w:gridCol w:w="1436"/>
        <w:gridCol w:w="1703"/>
        <w:gridCol w:w="1418"/>
        <w:gridCol w:w="1417"/>
      </w:tblGrid>
      <w:tr w:rsidR="001A44B6" w:rsidRPr="001A44B6" w14:paraId="54EB1676" w14:textId="77777777" w:rsidTr="001A44B6">
        <w:trPr>
          <w:trHeight w:val="94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07A7881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95E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Patikslintas planas        (tūkst. Eur)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74F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Gauta pajamų (tūkst. 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FF7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Skirtumas (tūkst. Eur)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E65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Įvykdymo proc.</w:t>
            </w:r>
          </w:p>
        </w:tc>
      </w:tr>
      <w:tr w:rsidR="001A44B6" w:rsidRPr="001A44B6" w14:paraId="7D0F507B" w14:textId="77777777" w:rsidTr="001A44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AAD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Mokesčiai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F89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15201,00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E30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15904,20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FE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21A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104,6</w:t>
            </w:r>
          </w:p>
        </w:tc>
      </w:tr>
      <w:tr w:rsidR="001A44B6" w:rsidRPr="001A44B6" w14:paraId="2999049F" w14:textId="77777777" w:rsidTr="001A44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1FF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Dotacijos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275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13265,9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EC8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12503,1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50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7C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94,2</w:t>
            </w:r>
          </w:p>
        </w:tc>
      </w:tr>
      <w:tr w:rsidR="001A44B6" w:rsidRPr="001A44B6" w14:paraId="6E54C513" w14:textId="77777777" w:rsidTr="001A44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4D3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Kitos pajamos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448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855,40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AEB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895,20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57D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098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104,7</w:t>
            </w:r>
          </w:p>
        </w:tc>
      </w:tr>
      <w:tr w:rsidR="001A44B6" w:rsidRPr="001A44B6" w14:paraId="4A005A0B" w14:textId="77777777" w:rsidTr="001A44B6">
        <w:trPr>
          <w:trHeight w:val="6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A09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Žemės ir materialiojo  turto realizavimo pajamos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54A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170,50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8E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46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0B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111,8</w:t>
            </w:r>
          </w:p>
        </w:tc>
      </w:tr>
      <w:tr w:rsidR="001A44B6" w:rsidRPr="001A44B6" w14:paraId="4D2C6C3E" w14:textId="77777777" w:rsidTr="001A44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420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 pajamų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815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29492,8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9E7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29493,1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FAD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3E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100,00</w:t>
            </w:r>
          </w:p>
        </w:tc>
      </w:tr>
      <w:tr w:rsidR="001A44B6" w:rsidRPr="001A44B6" w14:paraId="2F97A839" w14:textId="77777777" w:rsidTr="001A44B6">
        <w:trPr>
          <w:trHeight w:val="6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9E1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Finansiniai įsipareigojimai </w:t>
            </w: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(ilgalaikės paskolos)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10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900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70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F2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7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100</w:t>
            </w:r>
          </w:p>
        </w:tc>
      </w:tr>
      <w:tr w:rsidR="001A44B6" w:rsidRPr="001A44B6" w14:paraId="6C462B5C" w14:textId="77777777" w:rsidTr="001A44B6">
        <w:trPr>
          <w:trHeight w:val="6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BF2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2022 m. metų pradžios likutis</w:t>
            </w: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(2021 m. pabaigos likutis)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99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1284,6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D3A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1284,6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8B6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60B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100</w:t>
            </w:r>
          </w:p>
        </w:tc>
      </w:tr>
      <w:tr w:rsidR="001A44B6" w:rsidRPr="001A44B6" w14:paraId="450D746A" w14:textId="77777777" w:rsidTr="001A44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0AE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E19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31677,4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9F6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31677,7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7B20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C6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100,00</w:t>
            </w:r>
          </w:p>
        </w:tc>
      </w:tr>
    </w:tbl>
    <w:p w14:paraId="2E7D5679" w14:textId="77777777" w:rsidR="008F51EE" w:rsidRDefault="008F51EE" w:rsidP="008F51EE">
      <w:pPr>
        <w:spacing w:after="0" w:line="360" w:lineRule="auto"/>
        <w:ind w:firstLine="1296"/>
        <w:jc w:val="both"/>
      </w:pPr>
    </w:p>
    <w:p w14:paraId="25667E34" w14:textId="2D4675B6" w:rsidR="00BE2240" w:rsidRDefault="00BE2240" w:rsidP="008F51EE">
      <w:pPr>
        <w:spacing w:after="0" w:line="360" w:lineRule="auto"/>
        <w:ind w:firstLine="1296"/>
        <w:jc w:val="both"/>
      </w:pPr>
      <w:r>
        <w:t>Mokesčių skirtumas tarp 20</w:t>
      </w:r>
      <w:r w:rsidR="00CE6690">
        <w:t>2</w:t>
      </w:r>
      <w:r w:rsidR="00296002">
        <w:t>2</w:t>
      </w:r>
      <w:r w:rsidR="001D0DCC">
        <w:t xml:space="preserve"> </w:t>
      </w:r>
      <w:r>
        <w:t xml:space="preserve">m. </w:t>
      </w:r>
      <w:r w:rsidR="00DD16C3">
        <w:t xml:space="preserve">pajamų </w:t>
      </w:r>
      <w:r>
        <w:t>vykdymo ir plano detalizuojamas lentelėje: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30"/>
        <w:gridCol w:w="1116"/>
        <w:gridCol w:w="1256"/>
        <w:gridCol w:w="1315"/>
        <w:gridCol w:w="1417"/>
      </w:tblGrid>
      <w:tr w:rsidR="001A44B6" w:rsidRPr="001A44B6" w14:paraId="0BBCBCF0" w14:textId="77777777" w:rsidTr="001A44B6">
        <w:trPr>
          <w:trHeight w:val="126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D091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Pajamų pavadinimas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437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Planas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2022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metams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2E24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Vykdymas  2022 metams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04F3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 xml:space="preserve">Skirtumas tarp  vykdymo ir plano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D171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 xml:space="preserve">Mokesčių vykdymo procentas 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2022-12-31</w:t>
            </w:r>
          </w:p>
        </w:tc>
      </w:tr>
      <w:tr w:rsidR="001A44B6" w:rsidRPr="001A44B6" w14:paraId="061C9A09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157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 xml:space="preserve">Gyventojų pajamų mokestis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29E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14645,00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C1D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15294,60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E87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649,60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A4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104,44</w:t>
            </w:r>
          </w:p>
        </w:tc>
      </w:tr>
      <w:tr w:rsidR="001A44B6" w:rsidRPr="001A44B6" w14:paraId="01F16D4E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3F5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Fizinių asmenų žemės mokestis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9AE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320,00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396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350,60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02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FC7F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109,56</w:t>
            </w:r>
          </w:p>
        </w:tc>
      </w:tr>
      <w:tr w:rsidR="001A44B6" w:rsidRPr="001A44B6" w14:paraId="016D5286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2A8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Juridinių asmenų žemės mokestis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F27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F6A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3C6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FB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106,67</w:t>
            </w:r>
          </w:p>
        </w:tc>
      </w:tr>
      <w:tr w:rsidR="001A44B6" w:rsidRPr="001A44B6" w14:paraId="5B0C3935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AE3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Paveldimo turto mokestis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6BF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28,00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25A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27,20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EE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7D6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97,14</w:t>
            </w:r>
          </w:p>
        </w:tc>
      </w:tr>
      <w:tr w:rsidR="001A44B6" w:rsidRPr="001A44B6" w14:paraId="594FA073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967E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Fizinių asmenų nekilnojamojo turto mokestis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3BA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51B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89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F8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90,00</w:t>
            </w:r>
          </w:p>
        </w:tc>
      </w:tr>
      <w:tr w:rsidR="001A44B6" w:rsidRPr="001A44B6" w14:paraId="1875AAF9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04A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Juridinių asmenų nekilnojamojo turto mokestis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1208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8D0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160,20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FE0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260D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106,80</w:t>
            </w:r>
          </w:p>
        </w:tc>
      </w:tr>
      <w:tr w:rsidR="001A44B6" w:rsidRPr="001A44B6" w14:paraId="74748222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BA9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Mokesčiai už aplinkos teršimą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DFE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CD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AC12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8D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170,00</w:t>
            </w:r>
          </w:p>
        </w:tc>
      </w:tr>
      <w:tr w:rsidR="001A44B6" w:rsidRPr="001A44B6" w14:paraId="0912B146" w14:textId="77777777" w:rsidTr="001A44B6">
        <w:trPr>
          <w:trHeight w:val="3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961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Iš viso mokesčių: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ECA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15201,00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8F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15904,20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E2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703,20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AD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104,63</w:t>
            </w:r>
          </w:p>
        </w:tc>
      </w:tr>
    </w:tbl>
    <w:p w14:paraId="44C13D61" w14:textId="77777777" w:rsidR="00296002" w:rsidRDefault="00BE2240" w:rsidP="00296002">
      <w:pPr>
        <w:spacing w:after="0" w:line="360" w:lineRule="auto"/>
        <w:jc w:val="both"/>
      </w:pPr>
      <w:r>
        <w:t xml:space="preserve"> </w:t>
      </w:r>
    </w:p>
    <w:p w14:paraId="420D87DC" w14:textId="64157F7C" w:rsidR="00B841D7" w:rsidRDefault="00B841D7" w:rsidP="00296002">
      <w:pPr>
        <w:spacing w:after="0" w:line="360" w:lineRule="auto"/>
        <w:jc w:val="both"/>
        <w:rPr>
          <w:color w:val="000000"/>
        </w:rPr>
      </w:pPr>
      <w:r>
        <w:tab/>
      </w:r>
      <w:r w:rsidR="00BE2240">
        <w:t xml:space="preserve">Gyventojų pajamų mokesčio (GPM) į savivaldybės biudžetą gauta </w:t>
      </w:r>
      <w:r w:rsidR="00766040">
        <w:t>daugiau</w:t>
      </w:r>
      <w:r w:rsidR="00BE2240">
        <w:t xml:space="preserve">, negu planuota </w:t>
      </w:r>
      <w:r w:rsidR="00296002">
        <w:t>649,6</w:t>
      </w:r>
      <w:r w:rsidR="00BE2240">
        <w:t xml:space="preserve"> tūkst. Eur</w:t>
      </w:r>
      <w:r w:rsidR="00DD16C3">
        <w:t xml:space="preserve"> </w:t>
      </w:r>
      <w:r w:rsidR="00BE2240">
        <w:t>(</w:t>
      </w:r>
      <w:r w:rsidR="00296002">
        <w:t>104,44</w:t>
      </w:r>
      <w:r w:rsidR="00BE2240">
        <w:t xml:space="preserve"> procento). </w:t>
      </w:r>
      <w:r>
        <w:rPr>
          <w:color w:val="000000"/>
        </w:rPr>
        <w:t>Molėtų rajono savivaldybė</w:t>
      </w:r>
      <w:r w:rsidR="00F4157E">
        <w:rPr>
          <w:color w:val="000000"/>
        </w:rPr>
        <w:t xml:space="preserve">s gyventojų pajamų mokesčio </w:t>
      </w:r>
      <w:r w:rsidR="00E4770B">
        <w:rPr>
          <w:color w:val="000000"/>
        </w:rPr>
        <w:t>paskirstymas</w:t>
      </w:r>
      <w:r w:rsidR="00F4157E">
        <w:rPr>
          <w:color w:val="000000"/>
        </w:rPr>
        <w:t xml:space="preserve"> pagal planą (prognozę) ir įplaukų gavimą detalizuojamas lentelėje</w:t>
      </w:r>
      <w:r w:rsidR="00F63827">
        <w:rPr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276"/>
        <w:gridCol w:w="992"/>
        <w:gridCol w:w="1276"/>
        <w:gridCol w:w="1276"/>
        <w:gridCol w:w="1275"/>
      </w:tblGrid>
      <w:tr w:rsidR="00E8479D" w:rsidRPr="00E8479D" w14:paraId="45143085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8569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7BC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7926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866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9D7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Ketvirčiais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DF74" w14:textId="0E62FFE7" w:rsidR="00E8479D" w:rsidRPr="00E8479D" w:rsidRDefault="00790DD9" w:rsidP="00790D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Įvykdymo</w:t>
            </w:r>
            <w:r w:rsidR="00E8479D" w:rsidRPr="00E8479D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 w:rsidR="00E8479D" w:rsidRP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procenta</w:t>
            </w:r>
            <w:r w:rsidR="00E8479D" w:rsidRPr="00E8479D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s </w:t>
            </w:r>
          </w:p>
        </w:tc>
      </w:tr>
      <w:tr w:rsidR="00E8479D" w:rsidRPr="00E8479D" w14:paraId="39B9F57B" w14:textId="77777777" w:rsidTr="00790DD9">
        <w:trPr>
          <w:trHeight w:val="8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DD1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szCs w:val="24"/>
                <w:lang w:eastAsia="lt-LT"/>
              </w:rPr>
              <w:t>2022 metai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A0D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Planas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175F" w14:textId="341F4DDC" w:rsidR="00E8479D" w:rsidRPr="00E8479D" w:rsidRDefault="00E4770B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Vykdy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</w:t>
            </w: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as</w:t>
            </w:r>
            <w:r w:rsidR="00E8479D"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</w:r>
            <w:r w:rsid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(</w:t>
            </w:r>
            <w:r w:rsidR="00E8479D"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Įplaukos)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05867" w14:textId="45A573F3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Skirtumas</w:t>
            </w: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tarp plano ir</w:t>
            </w:r>
            <w:r w:rsidR="00D942A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vykdymo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266F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Planas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40F2" w14:textId="65768894" w:rsidR="00E8479D" w:rsidRPr="00E8479D" w:rsidRDefault="00E4770B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Vykdy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</w:t>
            </w: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as</w:t>
            </w:r>
            <w:r w:rsidR="00E8479D"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(įplaukos)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6ED6" w14:textId="0F627959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Skirtumas</w:t>
            </w: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tarp plano ir vykdymo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E94C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034AC5FC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69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Sausio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066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1358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762,1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234F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-86,5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B52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2546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8BD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3039,7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D3B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493,7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0B7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19,39</w:t>
            </w:r>
          </w:p>
        </w:tc>
      </w:tr>
      <w:tr w:rsidR="00E8479D" w:rsidRPr="00E8479D" w14:paraId="61CD09E6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FE6E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Vasario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068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C96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0720F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229,2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92CC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84EF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A316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49CC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72268DD7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0E3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Kovo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041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BDF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EFF5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351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81D1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F37D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BD9B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A9D1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2925E8DF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5EB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Balandžio mėn.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91A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D76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4F55E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225,7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C90E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4105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084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4195,9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4CC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90,9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379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2,21</w:t>
            </w:r>
          </w:p>
        </w:tc>
      </w:tr>
      <w:tr w:rsidR="00E8479D" w:rsidRPr="00E8479D" w14:paraId="040875CC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8A88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Gegužės mėn.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CE0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36D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99592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9,4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E3C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8B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A4C0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10AD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6F6CC3E8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862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Birželio mėn.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710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405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6D166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-144,2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A03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BA1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09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F7DE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4B4C3736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754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Liepos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8A8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862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B242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7,6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528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3340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37A7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3486,8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D61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146,8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8AB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4,40</w:t>
            </w:r>
          </w:p>
        </w:tc>
      </w:tr>
      <w:tr w:rsidR="00E8479D" w:rsidRPr="00E8479D" w14:paraId="54A43E37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A35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Rugpjūčio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A0D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2D0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DBE0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54,8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1018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3BE3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6522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91F6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5C9BC585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87F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Rugsėjo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4ED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1D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E8E3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84,4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2482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531D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48BD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6641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4AD0D9CB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6D76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Spalio mėn.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229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DA7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02055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-119,3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2D5A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4654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B2AE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4572,2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A702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-81,8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3D9" w14:textId="77777777" w:rsidR="00E8479D" w:rsidRPr="00E8479D" w:rsidRDefault="00E8479D" w:rsidP="00E847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-1,76</w:t>
            </w:r>
          </w:p>
        </w:tc>
      </w:tr>
      <w:tr w:rsidR="00E8479D" w:rsidRPr="00E8479D" w14:paraId="2491B7F6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120B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Lapkričio mėn.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CE8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31C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9396A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-688,9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7517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EE8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EF49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A47B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04292A42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1177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Gruodžio mėn.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C571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74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2094,4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8B606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726,4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FAB8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261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BBAB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B4A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E8479D" w:rsidRPr="00E8479D" w14:paraId="282E5E71" w14:textId="77777777" w:rsidTr="00790DD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4F5" w14:textId="77777777" w:rsidR="00E8479D" w:rsidRPr="00E8479D" w:rsidRDefault="00E8479D" w:rsidP="00E8479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092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14645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B8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15294,6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EB3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842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14645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703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15294,6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B74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b/>
                <w:bCs/>
                <w:szCs w:val="24"/>
                <w:lang w:eastAsia="lt-LT"/>
              </w:rPr>
              <w:t>649,6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847" w14:textId="77777777" w:rsidR="00E8479D" w:rsidRPr="00E8479D" w:rsidRDefault="00E8479D" w:rsidP="00E847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8479D">
              <w:rPr>
                <w:rFonts w:eastAsia="Times New Roman" w:cs="Times New Roman"/>
                <w:color w:val="000000"/>
                <w:szCs w:val="24"/>
                <w:lang w:eastAsia="lt-LT"/>
              </w:rPr>
              <w:t>4,44</w:t>
            </w:r>
          </w:p>
        </w:tc>
      </w:tr>
    </w:tbl>
    <w:p w14:paraId="68EC1687" w14:textId="77777777" w:rsidR="00F678FB" w:rsidRDefault="00F678FB" w:rsidP="00F63827">
      <w:pPr>
        <w:tabs>
          <w:tab w:val="left" w:pos="720"/>
          <w:tab w:val="num" w:pos="3960"/>
        </w:tabs>
        <w:spacing w:after="0" w:line="360" w:lineRule="auto"/>
        <w:jc w:val="both"/>
      </w:pPr>
    </w:p>
    <w:p w14:paraId="002FB8CE" w14:textId="162CF652" w:rsidR="00BE2240" w:rsidRDefault="00BE2240" w:rsidP="00142F17">
      <w:pPr>
        <w:spacing w:line="360" w:lineRule="auto"/>
        <w:jc w:val="both"/>
        <w:rPr>
          <w:sz w:val="22"/>
        </w:rPr>
      </w:pPr>
      <w:r>
        <w:tab/>
        <w:t xml:space="preserve">Bendras kitų savivaldybės pajamų įvykdymo procentas yra </w:t>
      </w:r>
      <w:r w:rsidR="00E904F7">
        <w:t>104,65</w:t>
      </w:r>
      <w:r>
        <w:t xml:space="preserve"> procentų</w:t>
      </w:r>
      <w:r w:rsidR="00E904F7">
        <w:t>.</w:t>
      </w:r>
    </w:p>
    <w:p w14:paraId="188100E7" w14:textId="7A639154" w:rsidR="00BE2240" w:rsidRDefault="00BE2240" w:rsidP="000C738E">
      <w:pPr>
        <w:spacing w:line="360" w:lineRule="auto"/>
        <w:jc w:val="both"/>
      </w:pPr>
      <w:r>
        <w:rPr>
          <w:sz w:val="22"/>
        </w:rPr>
        <w:tab/>
      </w:r>
      <w:r>
        <w:t>Kitų pajamų skirtumas tarp 20</w:t>
      </w:r>
      <w:r w:rsidR="000C738E">
        <w:t>2</w:t>
      </w:r>
      <w:r w:rsidR="00E904F7">
        <w:t>2</w:t>
      </w:r>
      <w:r>
        <w:t xml:space="preserve"> m.</w:t>
      </w:r>
      <w:r w:rsidR="00DD16C3">
        <w:t xml:space="preserve"> pajamų</w:t>
      </w:r>
      <w:r>
        <w:t xml:space="preserve"> vykdymo ir plano detalizuojamas lentelėje: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815"/>
        <w:gridCol w:w="1276"/>
        <w:gridCol w:w="1256"/>
        <w:gridCol w:w="1260"/>
        <w:gridCol w:w="1453"/>
      </w:tblGrid>
      <w:tr w:rsidR="00E904F7" w:rsidRPr="00E904F7" w14:paraId="1BCE6CD7" w14:textId="77777777" w:rsidTr="00E904F7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4F2C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Pajamų pavadinimas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977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Planas</w:t>
            </w:r>
            <w:r w:rsidRPr="00E904F7">
              <w:rPr>
                <w:rFonts w:eastAsia="Times New Roman" w:cs="Times New Roman"/>
                <w:szCs w:val="24"/>
                <w:lang w:eastAsia="lt-LT"/>
              </w:rPr>
              <w:br/>
              <w:t>2022</w:t>
            </w:r>
            <w:r w:rsidRPr="00E904F7">
              <w:rPr>
                <w:rFonts w:eastAsia="Times New Roman" w:cs="Times New Roman"/>
                <w:szCs w:val="24"/>
                <w:lang w:eastAsia="lt-LT"/>
              </w:rPr>
              <w:br/>
              <w:t>metams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BC4E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Vykdymas  2022 metams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E2C4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 xml:space="preserve">Skirtumas tarp  vykdymo ir plano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384A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 xml:space="preserve">Mokesčių vykdymo procentas </w:t>
            </w:r>
            <w:r w:rsidRPr="00E904F7">
              <w:rPr>
                <w:rFonts w:eastAsia="Times New Roman" w:cs="Times New Roman"/>
                <w:szCs w:val="24"/>
                <w:lang w:eastAsia="lt-LT"/>
              </w:rPr>
              <w:br/>
              <w:t>2022-12-31</w:t>
            </w:r>
          </w:p>
        </w:tc>
      </w:tr>
      <w:tr w:rsidR="00E904F7" w:rsidRPr="00E904F7" w14:paraId="25E9E98F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49E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Palūkanos už paskolas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A4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9AD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CD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46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100,00</w:t>
            </w:r>
          </w:p>
        </w:tc>
      </w:tr>
      <w:tr w:rsidR="00E904F7" w:rsidRPr="00E904F7" w14:paraId="14C3D5D6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0E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Dividendai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79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D4D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B4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205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100,00</w:t>
            </w:r>
          </w:p>
        </w:tc>
      </w:tr>
      <w:tr w:rsidR="00E904F7" w:rsidRPr="00E904F7" w14:paraId="1C97B534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92D" w14:textId="487827E5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 xml:space="preserve">Fizinių asmenų nuomos mokestis už valstybinę žemę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EC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C95D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72,10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C4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E9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103,00</w:t>
            </w:r>
          </w:p>
        </w:tc>
      </w:tr>
      <w:tr w:rsidR="00E904F7" w:rsidRPr="00E904F7" w14:paraId="3D0F9550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506" w14:textId="5FB2DA35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 xml:space="preserve">Juridinių asmenų nuomos mokestis už valstybinę žemę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857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57,00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3E1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58,30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A1D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64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102,28</w:t>
            </w:r>
          </w:p>
        </w:tc>
      </w:tr>
      <w:tr w:rsidR="00E904F7" w:rsidRPr="00E904F7" w14:paraId="47AE9C82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385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Mokestis už medžiojamųjų gyvūnų išteklius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68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D94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52,20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A8A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12,20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97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130,50</w:t>
            </w:r>
          </w:p>
        </w:tc>
      </w:tr>
      <w:tr w:rsidR="00E904F7" w:rsidRPr="00E904F7" w14:paraId="3E161C21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059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Kiti mokesčiai už valstybinius gamtos išteklius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31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C1AA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51A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-0,20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EB8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98,75</w:t>
            </w:r>
          </w:p>
        </w:tc>
      </w:tr>
      <w:tr w:rsidR="00E904F7" w:rsidRPr="00E904F7" w14:paraId="56B6FC96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FC2C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Biudžetinių įstaigų pajamos už prekes ir paslaugas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A3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169,60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A3F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171,40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E8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A5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101,06</w:t>
            </w:r>
          </w:p>
        </w:tc>
      </w:tr>
      <w:tr w:rsidR="00E904F7" w:rsidRPr="00E904F7" w14:paraId="0DA5673E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8B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Pajamos už ilgalaikio ir trumpalaikio materialiojo turto nuo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BBD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56,30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3FC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1095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11,70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77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120,78</w:t>
            </w:r>
          </w:p>
        </w:tc>
      </w:tr>
      <w:tr w:rsidR="00E904F7" w:rsidRPr="00E904F7" w14:paraId="60A25846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0C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Įmokos už išlaikymą švietimo, socialinės apsaugos ir kitose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938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329,50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0282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323,90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DB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-5,60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61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98,30</w:t>
            </w:r>
          </w:p>
        </w:tc>
      </w:tr>
      <w:tr w:rsidR="00E904F7" w:rsidRPr="00E904F7" w14:paraId="60D60958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94F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Valstybės rinkliava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A68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286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B1F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-1,10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47A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96,86</w:t>
            </w:r>
          </w:p>
        </w:tc>
      </w:tr>
      <w:tr w:rsidR="00E904F7" w:rsidRPr="00E904F7" w14:paraId="0B2D27D7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AAF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Vietinė rinkliava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CC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26,00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1FBA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91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10,90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E3F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141,92</w:t>
            </w:r>
          </w:p>
        </w:tc>
      </w:tr>
      <w:tr w:rsidR="00E904F7" w:rsidRPr="00E904F7" w14:paraId="586CCE4B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3E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Pajamos iš baudų už administracinius nusižengimus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CC8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E96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89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710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50,00</w:t>
            </w:r>
          </w:p>
        </w:tc>
      </w:tr>
      <w:tr w:rsidR="00E904F7" w:rsidRPr="00E904F7" w14:paraId="4F4A2A1F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84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Delspinigiai savivaldybės biudžetui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EF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11,40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782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02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6,20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FF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154,39</w:t>
            </w:r>
          </w:p>
        </w:tc>
      </w:tr>
      <w:tr w:rsidR="00E904F7" w:rsidRPr="00E904F7" w14:paraId="748B3859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F9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Delspinigiai savivaldybės aplinkos apsaugos fondui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6B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6A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CC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9,10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6B5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9200,00</w:t>
            </w:r>
          </w:p>
        </w:tc>
      </w:tr>
      <w:tr w:rsidR="00E904F7" w:rsidRPr="00E904F7" w14:paraId="4579F404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F7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Mokestinės baudos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DF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20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D8BF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-0,50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3EB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66,67</w:t>
            </w:r>
          </w:p>
        </w:tc>
      </w:tr>
      <w:tr w:rsidR="00E904F7" w:rsidRPr="00E904F7" w14:paraId="21386D13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887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lastRenderedPageBreak/>
              <w:t>Kitos neišvardytos pajamos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236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96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FF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-7,10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2E2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szCs w:val="24"/>
                <w:lang w:eastAsia="lt-LT"/>
              </w:rPr>
              <w:t>29,00</w:t>
            </w:r>
          </w:p>
        </w:tc>
      </w:tr>
      <w:tr w:rsidR="00E904F7" w:rsidRPr="00E904F7" w14:paraId="0984222C" w14:textId="77777777" w:rsidTr="00E904F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784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szCs w:val="24"/>
                <w:lang w:eastAsia="lt-LT"/>
              </w:rPr>
              <w:t>Iš viso kitų pajamų: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C9D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855,40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C9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895,20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F9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39,80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13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104,65</w:t>
            </w:r>
          </w:p>
        </w:tc>
      </w:tr>
    </w:tbl>
    <w:p w14:paraId="097C4AA7" w14:textId="50CAA565" w:rsidR="000567D2" w:rsidRDefault="000567D2" w:rsidP="000567D2">
      <w:pPr>
        <w:spacing w:line="360" w:lineRule="auto"/>
        <w:jc w:val="both"/>
      </w:pPr>
      <w:r>
        <w:t xml:space="preserve">            2022 m.  savivaldybės biudžeto pajamas papildė realizavimo pajamos. </w:t>
      </w:r>
    </w:p>
    <w:p w14:paraId="5B02FB16" w14:textId="467FFB26" w:rsidR="000567D2" w:rsidRDefault="000567D2" w:rsidP="000567D2">
      <w:pPr>
        <w:spacing w:line="360" w:lineRule="auto"/>
        <w:jc w:val="both"/>
      </w:pPr>
      <w:r>
        <w:t xml:space="preserve">            Realizavimo pajamų skirtumas tarp 2022 m. vykdymo ir plano detalizuojamas lentelėje: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673"/>
        <w:gridCol w:w="1276"/>
        <w:gridCol w:w="1276"/>
        <w:gridCol w:w="1373"/>
        <w:gridCol w:w="1462"/>
      </w:tblGrid>
      <w:tr w:rsidR="001A44B6" w:rsidRPr="001A44B6" w14:paraId="58293455" w14:textId="77777777" w:rsidTr="001A44B6">
        <w:trPr>
          <w:trHeight w:val="11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328E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Pajamų pavadinimas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5ACA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Planas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2022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metams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ABC2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Vykdymas  2022 metams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0A0C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 xml:space="preserve">Skirtumas tarp  vykdymo ir plano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164B" w14:textId="77777777" w:rsidR="001A44B6" w:rsidRPr="001A44B6" w:rsidRDefault="001A44B6" w:rsidP="001A44B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 xml:space="preserve">Mokesčių vykdymo procentas </w:t>
            </w:r>
            <w:r w:rsidRPr="001A44B6">
              <w:rPr>
                <w:rFonts w:eastAsia="Times New Roman" w:cs="Times New Roman"/>
                <w:szCs w:val="24"/>
                <w:lang w:eastAsia="lt-LT"/>
              </w:rPr>
              <w:br/>
              <w:t>2022-12-31</w:t>
            </w:r>
          </w:p>
        </w:tc>
      </w:tr>
      <w:tr w:rsidR="001A44B6" w:rsidRPr="001A44B6" w14:paraId="6EE525D6" w14:textId="77777777" w:rsidTr="001A44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71F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Žemės realizavimo pajamos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CB9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498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51,30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777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31,30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53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256,50</w:t>
            </w:r>
          </w:p>
        </w:tc>
      </w:tr>
      <w:tr w:rsidR="001A44B6" w:rsidRPr="001A44B6" w14:paraId="65DBD5E5" w14:textId="77777777" w:rsidTr="001A44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CF3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Gyvenamųjų pastatų realizavimo pajamos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A0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F80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27,30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33FE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-10,70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6F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71,84</w:t>
            </w:r>
          </w:p>
        </w:tc>
      </w:tr>
      <w:tr w:rsidR="001A44B6" w:rsidRPr="001A44B6" w14:paraId="5AFD85F3" w14:textId="77777777" w:rsidTr="001A44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86E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Negyvenamųjų pastatų realizavimo pajamos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F9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BB7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105,20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49B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5,20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21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105,20</w:t>
            </w:r>
          </w:p>
        </w:tc>
      </w:tr>
      <w:tr w:rsidR="001A44B6" w:rsidRPr="001A44B6" w14:paraId="6F392B9F" w14:textId="77777777" w:rsidTr="001A44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F91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Kito ilgalaikio materialiojo turto realizavimo pajamos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3EC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AD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6,80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CC3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-5,70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784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szCs w:val="24"/>
                <w:lang w:eastAsia="lt-LT"/>
              </w:rPr>
              <w:t>54,40</w:t>
            </w:r>
          </w:p>
        </w:tc>
      </w:tr>
      <w:tr w:rsidR="001A44B6" w:rsidRPr="001A44B6" w14:paraId="76DBAFFE" w14:textId="77777777" w:rsidTr="001A44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896" w14:textId="77777777" w:rsidR="001A44B6" w:rsidRPr="001A44B6" w:rsidRDefault="001A44B6" w:rsidP="001A44B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Iš viso realizavimo pajamų: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D01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23D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190,60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4CF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20,10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3B5" w14:textId="77777777" w:rsidR="001A44B6" w:rsidRPr="001A44B6" w:rsidRDefault="001A44B6" w:rsidP="001A44B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1A44B6">
              <w:rPr>
                <w:rFonts w:eastAsia="Times New Roman" w:cs="Times New Roman"/>
                <w:b/>
                <w:bCs/>
                <w:szCs w:val="24"/>
                <w:lang w:eastAsia="lt-LT"/>
              </w:rPr>
              <w:t>111,79</w:t>
            </w:r>
          </w:p>
        </w:tc>
      </w:tr>
    </w:tbl>
    <w:p w14:paraId="77661A09" w14:textId="77777777" w:rsidR="000567D2" w:rsidRDefault="000567D2" w:rsidP="000567D2">
      <w:pPr>
        <w:spacing w:line="240" w:lineRule="auto"/>
        <w:ind w:firstLine="720"/>
        <w:jc w:val="both"/>
      </w:pPr>
    </w:p>
    <w:p w14:paraId="69248B89" w14:textId="382ED31F" w:rsidR="00BE2240" w:rsidRDefault="00221D5C" w:rsidP="000567D2">
      <w:pPr>
        <w:spacing w:line="360" w:lineRule="auto"/>
        <w:ind w:firstLine="720"/>
        <w:jc w:val="both"/>
      </w:pPr>
      <w:r>
        <w:t>Didelę</w:t>
      </w:r>
      <w:r w:rsidR="00BE2240">
        <w:t xml:space="preserve"> </w:t>
      </w:r>
      <w:r w:rsidR="000C738E">
        <w:t>202</w:t>
      </w:r>
      <w:r w:rsidR="00E904F7">
        <w:t>2</w:t>
      </w:r>
      <w:r w:rsidR="00BE2240">
        <w:t xml:space="preserve"> m. rajono savivaldybės biudžeto  pajamų dalį – </w:t>
      </w:r>
      <w:r w:rsidR="00E904F7">
        <w:t>13265,9</w:t>
      </w:r>
      <w:r w:rsidR="00BE2240">
        <w:t xml:space="preserve"> tūkst. Eur sudarė  dotacijų lėšos, iš kurių </w:t>
      </w:r>
      <w:r w:rsidR="00E904F7">
        <w:t>922,4</w:t>
      </w:r>
      <w:r w:rsidR="00BE2240">
        <w:t xml:space="preserve"> tūkst.  Eur  Europos Sąjungos finansinės paramos lėšos.  </w:t>
      </w:r>
      <w:r w:rsidR="00E904F7">
        <w:t>3109</w:t>
      </w:r>
      <w:r w:rsidR="00BE2240">
        <w:t xml:space="preserve"> tūkst. Eur  kaip specialias tikslines dotacijas valstybės funkcijų ( perduotų savivaldybėms) vykdymui  savivaldybės biudžetui skyrė  valstybines funkcijas kuruojančios valstybės institucijos. </w:t>
      </w:r>
    </w:p>
    <w:p w14:paraId="3A0A052D" w14:textId="6C78312F" w:rsidR="00BE2240" w:rsidRDefault="00BE2240" w:rsidP="00BE2240">
      <w:pPr>
        <w:spacing w:line="360" w:lineRule="auto"/>
        <w:ind w:firstLine="720"/>
        <w:jc w:val="both"/>
      </w:pPr>
      <w:r w:rsidRPr="004D4443">
        <w:t xml:space="preserve">Taip pat </w:t>
      </w:r>
      <w:r w:rsidR="000C738E">
        <w:t>202</w:t>
      </w:r>
      <w:r w:rsidR="00E904F7">
        <w:t>2</w:t>
      </w:r>
      <w:r w:rsidR="006D675E">
        <w:t xml:space="preserve"> </w:t>
      </w:r>
      <w:r w:rsidRPr="004D4443">
        <w:t xml:space="preserve">metais rajono savivaldybės biudžetas gavo </w:t>
      </w:r>
      <w:r w:rsidR="00E904F7">
        <w:t>84,2</w:t>
      </w:r>
      <w:r w:rsidRPr="004D4443">
        <w:t xml:space="preserve"> tūkst. Eur  tikslinę dotaciją pagal teisės aktus savivaldybėms perduotoms įstaigoms išlaikyti</w:t>
      </w:r>
      <w:r>
        <w:t xml:space="preserve">. Ši tikslinė dotacija  kiekvienais metais mažėja, nes lėšos yra skiriamos tik tų  Molėtų vaikų savarankiško gyvenimo namų auklėtinių išlaikymui, kurie į globos įstaigą pateko iki 2007 metų. </w:t>
      </w:r>
    </w:p>
    <w:p w14:paraId="2D75533C" w14:textId="341199CD" w:rsidR="00BE2240" w:rsidRDefault="00E904F7" w:rsidP="00BE2240">
      <w:pPr>
        <w:spacing w:line="360" w:lineRule="auto"/>
        <w:ind w:firstLine="720"/>
        <w:jc w:val="both"/>
      </w:pPr>
      <w:r>
        <w:t>70,9</w:t>
      </w:r>
      <w:r w:rsidR="00BE2240">
        <w:t xml:space="preserve"> tūkst. Eur, kaip speciali tikslinė dotacija, skirta  mokinių, turinčių specialių ugdymosi poreikių, išlaikymui. Lėšos perduotos Molėtų r. Kijėlių specialiojo ugdymo centrui.</w:t>
      </w:r>
    </w:p>
    <w:p w14:paraId="0906EE01" w14:textId="41D4FCC2" w:rsidR="00BE2240" w:rsidRDefault="00E904F7" w:rsidP="00BE2240">
      <w:pPr>
        <w:spacing w:line="360" w:lineRule="auto"/>
        <w:ind w:firstLine="720"/>
        <w:jc w:val="both"/>
      </w:pPr>
      <w:r>
        <w:t>950</w:t>
      </w:r>
      <w:r w:rsidR="00BE2240">
        <w:t xml:space="preserve"> tūkst. Eur tikslinių dotacijų iš valstybės biudžeto skirta valstybės investicijų programai vykdyti</w:t>
      </w:r>
      <w:r w:rsidR="000C738E">
        <w:t xml:space="preserve">, lėšos skirtos </w:t>
      </w:r>
      <w:r w:rsidR="006D675E">
        <w:t xml:space="preserve">projektui „Sporto paskirties pastato Molėtuose, Ąžuolų g. 10 </w:t>
      </w:r>
      <w:r w:rsidR="00790DD9">
        <w:t>rekonstravimas</w:t>
      </w:r>
      <w:r w:rsidR="006D675E">
        <w:t>“.</w:t>
      </w:r>
    </w:p>
    <w:p w14:paraId="23402BE0" w14:textId="51FA08BF" w:rsidR="000567D2" w:rsidRDefault="00DD52CC" w:rsidP="00E904F7">
      <w:pPr>
        <w:spacing w:line="360" w:lineRule="auto"/>
        <w:ind w:firstLine="680"/>
        <w:jc w:val="both"/>
      </w:pPr>
      <w:r>
        <w:t>202</w:t>
      </w:r>
      <w:r w:rsidR="00E904F7">
        <w:t>2</w:t>
      </w:r>
      <w:r>
        <w:t xml:space="preserve"> metais į savivaldybės biudžetą buvo pervesta </w:t>
      </w:r>
      <w:r w:rsidR="001A44B6">
        <w:t>1655,2</w:t>
      </w:r>
      <w:r>
        <w:t xml:space="preserve"> tūkst. Eur  specialios tikslinės dotacijos lėšų vietinės reikšmės keliams ir gatvėms tiesti, rekonstruoti, taisyti (remontuoti), prižiūrėti ir saugaus eismo sąlygoms užtikrinti.</w:t>
      </w:r>
      <w:r w:rsidR="000567D2" w:rsidRPr="000567D2">
        <w:t xml:space="preserve"> </w:t>
      </w:r>
    </w:p>
    <w:p w14:paraId="121E0F98" w14:textId="2F9E7AD2" w:rsidR="002D209C" w:rsidRDefault="000567D2" w:rsidP="00E904F7">
      <w:pPr>
        <w:spacing w:line="360" w:lineRule="auto"/>
        <w:ind w:firstLine="680"/>
        <w:jc w:val="both"/>
      </w:pPr>
      <w:r>
        <w:t xml:space="preserve">Iš Švietimo, mokslo ir sporto ministerijos gauta 5113,9 tūkst. Eur tikslinės dotacijos skirtos mokinio krepšeliui finansuoti. </w:t>
      </w:r>
    </w:p>
    <w:p w14:paraId="226AFFC6" w14:textId="5C13D10A" w:rsidR="00BE2240" w:rsidRDefault="00BE2240" w:rsidP="00DD52CC">
      <w:pPr>
        <w:spacing w:line="360" w:lineRule="auto"/>
        <w:ind w:firstLine="720"/>
        <w:jc w:val="both"/>
      </w:pPr>
      <w:r>
        <w:t xml:space="preserve"> </w:t>
      </w:r>
      <w:r w:rsidR="00660154" w:rsidRPr="00660154">
        <w:t>202</w:t>
      </w:r>
      <w:r w:rsidR="00E904F7">
        <w:t>2</w:t>
      </w:r>
      <w:r w:rsidR="00660154" w:rsidRPr="00660154">
        <w:t xml:space="preserve"> m. papildomai skirtos valstybės tikslinės dotacijos Molėtų rajono savivaldybės biudžetui: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703"/>
        <w:gridCol w:w="7656"/>
        <w:gridCol w:w="1609"/>
      </w:tblGrid>
      <w:tr w:rsidR="00E904F7" w:rsidRPr="00E904F7" w14:paraId="3C9FAE09" w14:textId="77777777" w:rsidTr="00E904F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E8E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lastRenderedPageBreak/>
              <w:t>Eil.</w:t>
            </w: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 xml:space="preserve"> Nr.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4C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Dotacijos paskirtis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0EB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Dotacijos </w:t>
            </w: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>suma, tūkst. Eur</w:t>
            </w:r>
          </w:p>
        </w:tc>
      </w:tr>
      <w:tr w:rsidR="00E904F7" w:rsidRPr="00E904F7" w14:paraId="4E3FD75C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446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59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Neformaliojo vaikų švietimo programoms finansuoti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19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79</w:t>
            </w:r>
          </w:p>
        </w:tc>
      </w:tr>
      <w:tr w:rsidR="00E904F7" w:rsidRPr="00E904F7" w14:paraId="073C2D40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BC8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4FC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Akredituotai vaikų dienos socialinei priežiūrai organizuoti, teikti ir administruoti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30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47,8</w:t>
            </w:r>
          </w:p>
        </w:tc>
      </w:tr>
      <w:tr w:rsidR="00E904F7" w:rsidRPr="00E904F7" w14:paraId="2F093307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735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69D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Lėšos ikimokykliniam ugdymui socialinę riziką patiriantiems vaikams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77D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24,1</w:t>
            </w:r>
          </w:p>
        </w:tc>
      </w:tr>
      <w:tr w:rsidR="00E904F7" w:rsidRPr="00E904F7" w14:paraId="5530790A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B5D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7DC4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Pedagoginių darbuotojų, išlaikomų iš savivaldybės lėšų, darbo užmokesčio padidinimui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DC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79</w:t>
            </w:r>
          </w:p>
        </w:tc>
      </w:tr>
      <w:tr w:rsidR="00E904F7" w:rsidRPr="00E904F7" w14:paraId="67562785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2BE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24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 viešosios bibliotekos dokumentams (knygoms) įsigyti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2A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20,9</w:t>
            </w:r>
          </w:p>
        </w:tc>
      </w:tr>
      <w:tr w:rsidR="00E904F7" w:rsidRPr="00E904F7" w14:paraId="5E4E54D1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28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6.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CB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Tikslinė dotacija projektams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CAF1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316,7</w:t>
            </w:r>
          </w:p>
        </w:tc>
      </w:tr>
      <w:tr w:rsidR="00E904F7" w:rsidRPr="00E904F7" w14:paraId="4E6F33D4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CAE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7.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51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Būsto šildymo išlaidų kompensacijoms teikti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E2E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80,8</w:t>
            </w:r>
          </w:p>
        </w:tc>
      </w:tr>
      <w:tr w:rsidR="00E904F7" w:rsidRPr="00E904F7" w14:paraId="40F73B0E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57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F954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Socialinės reabilitacijos paslaugų neįgaliesiems bendruomenėje teikimo organizavimas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E1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42,6</w:t>
            </w:r>
          </w:p>
        </w:tc>
      </w:tr>
      <w:tr w:rsidR="00E904F7" w:rsidRPr="00E904F7" w14:paraId="38D25D60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03D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9.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14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Asmeninio asistento paslaugų teikimas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AC2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24,9</w:t>
            </w:r>
          </w:p>
        </w:tc>
      </w:tr>
      <w:tr w:rsidR="00E904F7" w:rsidRPr="00E904F7" w14:paraId="6077AEBC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11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10.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B7F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Išmokos neįgaliesiems mokėjimas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417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0,1</w:t>
            </w:r>
          </w:p>
        </w:tc>
      </w:tr>
      <w:tr w:rsidR="00E904F7" w:rsidRPr="00E904F7" w14:paraId="5748509E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DF7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11.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D9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Būsto ir jo aplinkos pritaikymas neįgaliesiems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D5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32,7</w:t>
            </w:r>
          </w:p>
        </w:tc>
      </w:tr>
      <w:tr w:rsidR="00E904F7" w:rsidRPr="00E904F7" w14:paraId="5CFA8458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5F8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12.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307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Socialinių paslaugų įstaigų darbuotojų darbo užmokesčio didinimui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CA2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49,4</w:t>
            </w:r>
          </w:p>
        </w:tc>
      </w:tr>
      <w:tr w:rsidR="00E904F7" w:rsidRPr="00E904F7" w14:paraId="791AECB7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53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13.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31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Dotacija mokyklų tinklo stiprinimo iniciatyvoms skatinti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A9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155,8</w:t>
            </w:r>
          </w:p>
        </w:tc>
      </w:tr>
      <w:tr w:rsidR="00E904F7" w:rsidRPr="00E904F7" w14:paraId="4B23938E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73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14.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188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 mokytojų skaičiaus optimizavimui ir atnaujinimui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07F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13,2</w:t>
            </w:r>
          </w:p>
        </w:tc>
      </w:tr>
      <w:tr w:rsidR="00E904F7" w:rsidRPr="00E904F7" w14:paraId="015D843F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58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15.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8A9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 bendruomeninei veiklai stiprinti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17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12,2</w:t>
            </w:r>
          </w:p>
        </w:tc>
      </w:tr>
      <w:tr w:rsidR="00E904F7" w:rsidRPr="00E904F7" w14:paraId="6041D401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06B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16.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72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Dotacija mokinių iš Ukrainos ugdymui ir pavėžėjimui į mokyklą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A06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39,9</w:t>
            </w:r>
          </w:p>
        </w:tc>
      </w:tr>
      <w:tr w:rsidR="00E904F7" w:rsidRPr="00E904F7" w14:paraId="1BB085C8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3AC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17.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A3F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Kompensacija ekstremalios situacijos padariniams šalinti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7C8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7,1</w:t>
            </w:r>
          </w:p>
        </w:tc>
      </w:tr>
      <w:tr w:rsidR="00E904F7" w:rsidRPr="00E904F7" w14:paraId="710F455F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02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18.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DDA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Kompensacija už būsto suteikimą užsieniečiams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23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38,8</w:t>
            </w:r>
          </w:p>
        </w:tc>
      </w:tr>
      <w:tr w:rsidR="00E904F7" w:rsidRPr="00E904F7" w14:paraId="0286BDE2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C36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19.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9D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Dotacija, skirta suaugusiųjų asmenų lietuvių kalbos mokymui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6B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1,8</w:t>
            </w:r>
          </w:p>
        </w:tc>
      </w:tr>
      <w:tr w:rsidR="00E904F7" w:rsidRPr="00E904F7" w14:paraId="0F8743B6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8F8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20.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89C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 dėl valstybės remiamų pajamų dydžio padidinimo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114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195,5</w:t>
            </w:r>
          </w:p>
        </w:tc>
      </w:tr>
      <w:tr w:rsidR="00E904F7" w:rsidRPr="00E904F7" w14:paraId="3FBE7BEF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9E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21.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A92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Dotacija užsieniečių patirtoms išlaidoms kompensuoti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BA3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41,7</w:t>
            </w:r>
          </w:p>
        </w:tc>
      </w:tr>
      <w:tr w:rsidR="00E904F7" w:rsidRPr="00E904F7" w14:paraId="71573A13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313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22.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BD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Jaunimo užimtumo vasarą ir integracijos į darbo rinką programos finansavimas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EF9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12</w:t>
            </w:r>
          </w:p>
        </w:tc>
      </w:tr>
      <w:tr w:rsidR="00E904F7" w:rsidRPr="00E904F7" w14:paraId="5B0EF728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004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23.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FB1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Socialinės priežiūros šeimoms teikimo finansavimas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C20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6,1</w:t>
            </w:r>
          </w:p>
        </w:tc>
      </w:tr>
      <w:tr w:rsidR="00E904F7" w:rsidRPr="00E904F7" w14:paraId="04CE41E6" w14:textId="77777777" w:rsidTr="00E904F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A12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24.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E00" w14:textId="77777777" w:rsidR="00E904F7" w:rsidRPr="00E904F7" w:rsidRDefault="00E904F7" w:rsidP="00E904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Užsieniečių priėmimo ir pagalbos jiems teikimo kompensacija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A55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color w:val="000000"/>
                <w:szCs w:val="24"/>
                <w:lang w:eastAsia="lt-LT"/>
              </w:rPr>
              <w:t>10,3</w:t>
            </w:r>
          </w:p>
        </w:tc>
      </w:tr>
      <w:tr w:rsidR="00E904F7" w:rsidRPr="00E904F7" w14:paraId="01D50B67" w14:textId="77777777" w:rsidTr="00E904F7">
        <w:trPr>
          <w:trHeight w:val="31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10F" w14:textId="77777777" w:rsidR="00E904F7" w:rsidRPr="00E904F7" w:rsidRDefault="00E904F7" w:rsidP="00E904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 tikslinės dotacijos, gautos papildomai 2022 metais: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89C" w14:textId="77777777" w:rsidR="00E904F7" w:rsidRPr="00E904F7" w:rsidRDefault="00E904F7" w:rsidP="00E904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904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1332,4</w:t>
            </w:r>
          </w:p>
        </w:tc>
      </w:tr>
    </w:tbl>
    <w:p w14:paraId="4C7BCFD7" w14:textId="6FD9435A" w:rsidR="002C3B89" w:rsidRDefault="002C3B89" w:rsidP="002C3B89">
      <w:pPr>
        <w:tabs>
          <w:tab w:val="left" w:pos="720"/>
          <w:tab w:val="num" w:pos="3960"/>
        </w:tabs>
        <w:spacing w:after="0" w:line="360" w:lineRule="auto"/>
        <w:jc w:val="both"/>
      </w:pPr>
    </w:p>
    <w:p w14:paraId="228CA5A3" w14:textId="35EDFCE4" w:rsidR="00EC0EE6" w:rsidRDefault="00EC0EE6" w:rsidP="00EC0EE6">
      <w:pPr>
        <w:tabs>
          <w:tab w:val="left" w:pos="720"/>
          <w:tab w:val="num" w:pos="3960"/>
        </w:tabs>
        <w:spacing w:after="0" w:line="360" w:lineRule="auto"/>
      </w:pPr>
      <w:r>
        <w:tab/>
        <w:t xml:space="preserve">2022 m. nepanaudota ir grąžinta </w:t>
      </w:r>
      <w:r>
        <w:rPr>
          <w:rFonts w:eastAsia="Times New Roman" w:cs="Times New Roman"/>
          <w:color w:val="000000"/>
          <w:szCs w:val="24"/>
          <w:lang w:eastAsia="lt-LT"/>
        </w:rPr>
        <w:t>v</w:t>
      </w:r>
      <w:r w:rsidRPr="00EC0EE6">
        <w:rPr>
          <w:rFonts w:eastAsia="Times New Roman" w:cs="Times New Roman"/>
          <w:color w:val="000000"/>
          <w:szCs w:val="24"/>
          <w:lang w:eastAsia="lt-LT"/>
        </w:rPr>
        <w:t>alstybines funkcijas,  kuruojan</w:t>
      </w:r>
      <w:r>
        <w:rPr>
          <w:rFonts w:eastAsia="Times New Roman" w:cs="Times New Roman"/>
          <w:color w:val="000000"/>
          <w:szCs w:val="24"/>
          <w:lang w:eastAsia="lt-LT"/>
        </w:rPr>
        <w:t>čioms</w:t>
      </w:r>
      <w:r w:rsidRPr="00EC0EE6">
        <w:rPr>
          <w:rFonts w:eastAsia="Times New Roman" w:cs="Times New Roman"/>
          <w:color w:val="000000"/>
          <w:szCs w:val="24"/>
          <w:lang w:eastAsia="lt-LT"/>
        </w:rPr>
        <w:t xml:space="preserve"> valstybės institucij</w:t>
      </w:r>
      <w:r>
        <w:rPr>
          <w:rFonts w:eastAsia="Times New Roman" w:cs="Times New Roman"/>
          <w:color w:val="000000"/>
          <w:szCs w:val="24"/>
          <w:lang w:eastAsia="lt-LT"/>
        </w:rPr>
        <w:t xml:space="preserve">oms </w:t>
      </w:r>
      <w:r>
        <w:t xml:space="preserve">221805,04 Eur valstybės lėšų. Detali informacija apie grąžintas lėšas pateikiama lentelėje: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620"/>
        <w:gridCol w:w="1276"/>
        <w:gridCol w:w="4444"/>
      </w:tblGrid>
      <w:tr w:rsidR="00EC0EE6" w:rsidRPr="00EC0EE6" w14:paraId="5927629E" w14:textId="77777777" w:rsidTr="00EC0EE6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337D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Eil. </w:t>
            </w: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Nr.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AA6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Lėšų paskirtis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AA89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Grąžinta</w:t>
            </w: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suma, Eur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2781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Valstybines funkcijas,  </w:t>
            </w: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kuruojanti valstybės institucija</w:t>
            </w:r>
          </w:p>
        </w:tc>
      </w:tr>
      <w:tr w:rsidR="00EC0EE6" w:rsidRPr="00EC0EE6" w14:paraId="208B4A84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0AC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832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Asmeninio asistento paslaugų teikimas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43F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8647,90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390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6FAB5165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D35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705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Socialinės priežiūros šeimoms teikimo finansavimas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093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94,48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E23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26194BE4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A34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FC5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Socialinėms išmokoms ir kompensacijoms skaičiuoti ir mokėti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8DA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5904,88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D8F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06D9C3CF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25C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6AA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Socialinei paramai mokiniams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065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16041,36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741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6AD6E5A9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2B4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0AC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Socialinėms paslaugoms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4F0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42812,14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C57C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33FAAB63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D67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FBF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Savivaldybių patvirtintoms užimtumo didinimo programoms įgyvendinti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85F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5732,73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103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783E238A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300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7.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F45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Būsto nuomos mokesčio daliai kompensuoti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C7F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1207,67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C0FA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szCs w:val="24"/>
                <w:lang w:eastAsia="lt-LT"/>
              </w:rPr>
              <w:t>LR socialinės apsaugos ir darbo ministerija</w:t>
            </w:r>
          </w:p>
        </w:tc>
      </w:tr>
      <w:tr w:rsidR="00EC0EE6" w:rsidRPr="00EC0EE6" w14:paraId="50F4F9C1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48E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2F5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Neformaliojo vaikų švietimo programoms finansuoti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3C4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16354,98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9C0" w14:textId="22F18608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LR švietimo,</w:t>
            </w:r>
            <w:r w:rsid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mokslo ir sporto ministerija</w:t>
            </w:r>
          </w:p>
        </w:tc>
      </w:tr>
      <w:tr w:rsidR="00EC0EE6" w:rsidRPr="00EC0EE6" w14:paraId="3B49B096" w14:textId="77777777" w:rsidTr="00EC0EE6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1FE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9.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827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Civilinei saugai (iš jų Astravo atominės elektrinės branduolinei avarijai pasirengti)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C2D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125008,9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56E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LR Teisingumo ministerija</w:t>
            </w:r>
          </w:p>
        </w:tc>
      </w:tr>
      <w:tr w:rsidR="00EC0EE6" w:rsidRPr="00EC0EE6" w14:paraId="00BC1907" w14:textId="77777777" w:rsidTr="00EC0EE6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A1B" w14:textId="77777777" w:rsidR="00EC0EE6" w:rsidRPr="00EC0EE6" w:rsidRDefault="00EC0EE6" w:rsidP="00EC0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 grąžintų lėšų: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897" w14:textId="77777777" w:rsidR="00EC0EE6" w:rsidRPr="00EC0EE6" w:rsidRDefault="00EC0EE6" w:rsidP="00EC0EE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221805,04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E31" w14:textId="77777777" w:rsidR="00EC0EE6" w:rsidRPr="00EC0EE6" w:rsidRDefault="00EC0EE6" w:rsidP="00EC0E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C0EE6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</w:tr>
    </w:tbl>
    <w:p w14:paraId="250E32C6" w14:textId="5A66530B" w:rsidR="00EC0EE6" w:rsidRDefault="00EC0EE6" w:rsidP="002C3B89">
      <w:pPr>
        <w:tabs>
          <w:tab w:val="left" w:pos="720"/>
          <w:tab w:val="num" w:pos="3960"/>
        </w:tabs>
        <w:spacing w:after="0" w:line="360" w:lineRule="auto"/>
        <w:jc w:val="both"/>
      </w:pPr>
    </w:p>
    <w:p w14:paraId="23314CD5" w14:textId="2EAD74F1" w:rsidR="004F27B1" w:rsidRPr="00042152" w:rsidRDefault="004F27B1" w:rsidP="004F27B1">
      <w:pPr>
        <w:spacing w:line="360" w:lineRule="auto"/>
        <w:ind w:firstLine="720"/>
        <w:jc w:val="both"/>
        <w:rPr>
          <w:bCs/>
        </w:rPr>
      </w:pPr>
      <w:r w:rsidRPr="00042152">
        <w:rPr>
          <w:bCs/>
        </w:rPr>
        <w:t>Savivaldybė 202</w:t>
      </w:r>
      <w:r w:rsidR="00042152">
        <w:rPr>
          <w:bCs/>
        </w:rPr>
        <w:t>2</w:t>
      </w:r>
      <w:r w:rsidRPr="00042152">
        <w:rPr>
          <w:bCs/>
        </w:rPr>
        <w:t xml:space="preserve"> m. skolinosi  </w:t>
      </w:r>
      <w:r w:rsidR="00042152">
        <w:rPr>
          <w:bCs/>
        </w:rPr>
        <w:t>900</w:t>
      </w:r>
      <w:r w:rsidRPr="00042152">
        <w:rPr>
          <w:bCs/>
        </w:rPr>
        <w:t xml:space="preserve"> tūkst. Eur iš AB </w:t>
      </w:r>
      <w:r w:rsidR="00042152">
        <w:rPr>
          <w:bCs/>
        </w:rPr>
        <w:t>Swedbank</w:t>
      </w:r>
      <w:r w:rsidRPr="00042152">
        <w:rPr>
          <w:bCs/>
        </w:rPr>
        <w:t xml:space="preserve"> banko:</w:t>
      </w:r>
    </w:p>
    <w:p w14:paraId="27FFB76B" w14:textId="51BEE67E" w:rsidR="00042152" w:rsidRPr="00042152" w:rsidRDefault="00042152" w:rsidP="00042152">
      <w:pPr>
        <w:tabs>
          <w:tab w:val="left" w:pos="680"/>
          <w:tab w:val="left" w:pos="1206"/>
        </w:tabs>
        <w:spacing w:after="0" w:line="36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ab/>
      </w:r>
      <w:r w:rsidRPr="00042152">
        <w:rPr>
          <w:rFonts w:eastAsia="Times New Roman" w:cs="Times New Roman"/>
          <w:szCs w:val="24"/>
          <w:lang w:eastAsia="lt-LT"/>
        </w:rPr>
        <w:t>1.  500 tūkst. Eur 2022 m. paskolų daliai grąžinti. Šiais metais savivaldybė grąžin</w:t>
      </w:r>
      <w:r>
        <w:rPr>
          <w:rFonts w:eastAsia="Times New Roman" w:cs="Times New Roman"/>
          <w:szCs w:val="24"/>
          <w:lang w:eastAsia="lt-LT"/>
        </w:rPr>
        <w:t>o</w:t>
      </w:r>
      <w:r w:rsidRPr="00042152">
        <w:rPr>
          <w:rFonts w:eastAsia="Times New Roman" w:cs="Times New Roman"/>
          <w:szCs w:val="24"/>
          <w:lang w:eastAsia="lt-LT"/>
        </w:rPr>
        <w:t xml:space="preserve"> 515,8 tūkst. Eur paskolų dalį. Ši sum</w:t>
      </w:r>
      <w:r>
        <w:rPr>
          <w:rFonts w:eastAsia="Times New Roman" w:cs="Times New Roman"/>
          <w:szCs w:val="24"/>
          <w:lang w:eastAsia="lt-LT"/>
        </w:rPr>
        <w:t>a</w:t>
      </w:r>
      <w:r w:rsidRPr="00042152">
        <w:rPr>
          <w:rFonts w:eastAsia="Times New Roman" w:cs="Times New Roman"/>
          <w:szCs w:val="24"/>
          <w:lang w:eastAsia="lt-LT"/>
        </w:rPr>
        <w:t xml:space="preserve">  grąžin</w:t>
      </w:r>
      <w:r>
        <w:rPr>
          <w:rFonts w:eastAsia="Times New Roman" w:cs="Times New Roman"/>
          <w:szCs w:val="24"/>
          <w:lang w:eastAsia="lt-LT"/>
        </w:rPr>
        <w:t>ta</w:t>
      </w:r>
      <w:r w:rsidRPr="00042152">
        <w:rPr>
          <w:rFonts w:eastAsia="Times New Roman" w:cs="Times New Roman"/>
          <w:szCs w:val="24"/>
          <w:lang w:eastAsia="lt-LT"/>
        </w:rPr>
        <w:t xml:space="preserve"> iš paimtos paskolos (500 tūkst. Eur) ir iš savivaldybės lėšų (15,8 tūkst. Eur).  </w:t>
      </w:r>
    </w:p>
    <w:p w14:paraId="182C4EBA" w14:textId="63CBF3E9" w:rsidR="00042152" w:rsidRPr="00042152" w:rsidRDefault="00042152" w:rsidP="00042152">
      <w:pPr>
        <w:spacing w:after="0" w:line="360" w:lineRule="auto"/>
        <w:ind w:firstLine="720"/>
        <w:jc w:val="both"/>
        <w:rPr>
          <w:rFonts w:eastAsia="Times New Roman" w:cs="Times New Roman"/>
          <w:iCs/>
          <w:color w:val="000000"/>
          <w:szCs w:val="24"/>
          <w:lang w:eastAsia="lt-LT"/>
        </w:rPr>
      </w:pPr>
      <w:r w:rsidRPr="00042152">
        <w:rPr>
          <w:rFonts w:eastAsia="Times New Roman" w:cs="Times New Roman"/>
          <w:szCs w:val="24"/>
          <w:lang w:eastAsia="lt-LT"/>
        </w:rPr>
        <w:t xml:space="preserve">2. </w:t>
      </w:r>
      <w:r w:rsidRPr="00042152">
        <w:rPr>
          <w:rFonts w:eastAsia="Times New Roman" w:cs="Times New Roman"/>
          <w:bCs/>
          <w:szCs w:val="24"/>
          <w:lang w:eastAsia="lt-LT"/>
        </w:rPr>
        <w:t xml:space="preserve">400 tūkst. Eur </w:t>
      </w:r>
      <w:r w:rsidRPr="00042152">
        <w:rPr>
          <w:rFonts w:eastAsia="Times New Roman" w:cs="Times New Roman"/>
          <w:szCs w:val="24"/>
          <w:lang w:eastAsia="lt-LT"/>
        </w:rPr>
        <w:t xml:space="preserve">paskola skiriama </w:t>
      </w:r>
      <w:r w:rsidRPr="00042152">
        <w:rPr>
          <w:rFonts w:eastAsia="Calibri" w:cs="Times New Roman"/>
          <w:szCs w:val="24"/>
          <w:lang w:eastAsia="lt-LT"/>
        </w:rPr>
        <w:t xml:space="preserve">savivaldybės ir valstybės investicijų programoje  įgyvendinamo projekto </w:t>
      </w:r>
      <w:r w:rsidRPr="00042152">
        <w:rPr>
          <w:rFonts w:eastAsia="Times New Roman" w:cs="Times New Roman"/>
          <w:iCs/>
          <w:color w:val="000000"/>
          <w:szCs w:val="24"/>
          <w:lang w:eastAsia="lt-LT"/>
        </w:rPr>
        <w:t>,,Sporto paskirties pastato Molėtuose, Ąžuolų g. 10, rekonstravimas" finansavimui.</w:t>
      </w:r>
    </w:p>
    <w:p w14:paraId="56961EFC" w14:textId="649867A1" w:rsidR="004F27B1" w:rsidRPr="00042152" w:rsidRDefault="004F27B1" w:rsidP="004F27B1">
      <w:pPr>
        <w:tabs>
          <w:tab w:val="left" w:pos="1021"/>
          <w:tab w:val="left" w:pos="1077"/>
        </w:tabs>
        <w:spacing w:line="360" w:lineRule="auto"/>
        <w:ind w:firstLine="720"/>
        <w:jc w:val="both"/>
        <w:rPr>
          <w:rFonts w:eastAsia="Calibri"/>
        </w:rPr>
      </w:pPr>
      <w:r w:rsidRPr="00042152">
        <w:rPr>
          <w:iCs/>
          <w:color w:val="000000"/>
        </w:rPr>
        <w:t xml:space="preserve"> </w:t>
      </w:r>
      <w:r w:rsidRPr="00042152">
        <w:t>Atsižvelgiant į Lietuvos Respublikos 202</w:t>
      </w:r>
      <w:r w:rsidR="00042152">
        <w:t>2</w:t>
      </w:r>
      <w:r w:rsidRPr="00042152">
        <w:t xml:space="preserve"> metų valstybės biudžeto ir savivaldybių biudžetų finansinių rodiklių patvirtinimo įstatymo Nr. XIV-</w:t>
      </w:r>
      <w:r w:rsidR="00042152">
        <w:t>745</w:t>
      </w:r>
      <w:r w:rsidRPr="00042152">
        <w:t>, patvirtinto 202</w:t>
      </w:r>
      <w:r w:rsidR="00042152">
        <w:t>1</w:t>
      </w:r>
      <w:r w:rsidRPr="00042152">
        <w:t xml:space="preserve"> m. gruodžio </w:t>
      </w:r>
      <w:r w:rsidR="00042152">
        <w:t>14</w:t>
      </w:r>
      <w:r w:rsidRPr="00042152">
        <w:t xml:space="preserve"> d., 13 straipsnio 2 punktą, paskolos sumą sudaro  1,5 procentai nuo bendrų biudžeto pajamų. </w:t>
      </w:r>
      <w:r w:rsidRPr="00042152">
        <w:rPr>
          <w:color w:val="000000"/>
        </w:rPr>
        <w:t>Savivaldybės, kurios biudžetas planuojamas, tvirtinamas, keičiamas ir vykdomas vadovaujantis Fiskalinės sutarties įgyvendinimo konstitucinio įstatymo 4 straipsnio 4 dalies nuostatomis, metinio grynojo skolinimosi suma negali viršyti 1,5 procento biudžeto pajamų dėl 202</w:t>
      </w:r>
      <w:r w:rsidR="00042152">
        <w:rPr>
          <w:color w:val="000000"/>
        </w:rPr>
        <w:t>2</w:t>
      </w:r>
      <w:r w:rsidRPr="00042152">
        <w:rPr>
          <w:color w:val="000000"/>
        </w:rPr>
        <w:t xml:space="preserve"> metams prognozuojamo neigiamo produkcijos atotrūkio nuo potencialo.</w:t>
      </w:r>
    </w:p>
    <w:p w14:paraId="08FEE4CE" w14:textId="52FE2EBE" w:rsidR="00BE2240" w:rsidRPr="00042152" w:rsidRDefault="00BE2240" w:rsidP="00042152">
      <w:pPr>
        <w:spacing w:line="360" w:lineRule="auto"/>
        <w:ind w:firstLine="720"/>
        <w:jc w:val="both"/>
      </w:pPr>
      <w:r w:rsidRPr="00042152">
        <w:t>20</w:t>
      </w:r>
      <w:r w:rsidR="00946A38" w:rsidRPr="00042152">
        <w:t>2</w:t>
      </w:r>
      <w:r w:rsidR="00042152">
        <w:t>2</w:t>
      </w:r>
      <w:r w:rsidRPr="00042152">
        <w:t xml:space="preserve"> metais buvo panaudota </w:t>
      </w:r>
      <w:r w:rsidR="00271AE9">
        <w:t>1284,6</w:t>
      </w:r>
      <w:r w:rsidRPr="00042152">
        <w:t xml:space="preserve"> tūkst.  Eur  20</w:t>
      </w:r>
      <w:r w:rsidR="000E2A27" w:rsidRPr="00042152">
        <w:t>2</w:t>
      </w:r>
      <w:r w:rsidR="00042152">
        <w:t>1</w:t>
      </w:r>
      <w:r w:rsidR="00C762DF" w:rsidRPr="00042152">
        <w:t xml:space="preserve"> </w:t>
      </w:r>
      <w:r w:rsidRPr="00042152">
        <w:t xml:space="preserve">m. nepanaudotų  pajamų dalis, kuri viršijo praėjusių metų panaudotus asignavimus. </w:t>
      </w:r>
    </w:p>
    <w:p w14:paraId="590F1C98" w14:textId="79DB2982" w:rsidR="00946A38" w:rsidRDefault="00BE2240" w:rsidP="00271AE9">
      <w:pPr>
        <w:spacing w:after="0" w:line="360" w:lineRule="auto"/>
        <w:ind w:firstLine="720"/>
        <w:jc w:val="both"/>
      </w:pPr>
      <w:r w:rsidRPr="00042152">
        <w:t>20</w:t>
      </w:r>
      <w:r w:rsidR="00946A38" w:rsidRPr="00042152">
        <w:t>2</w:t>
      </w:r>
      <w:r w:rsidR="00271AE9">
        <w:t>2</w:t>
      </w:r>
      <w:r w:rsidRPr="00042152">
        <w:t xml:space="preserve"> m. liko nepanaudota pajamų dalis – </w:t>
      </w:r>
      <w:r w:rsidR="00271AE9">
        <w:t>1229,9</w:t>
      </w:r>
      <w:r w:rsidRPr="00042152">
        <w:t xml:space="preserve"> tūkst</w:t>
      </w:r>
      <w:r w:rsidR="00790DD9">
        <w:t>.</w:t>
      </w:r>
      <w:r w:rsidRPr="00042152">
        <w:t xml:space="preserve"> Eur, iš jų </w:t>
      </w:r>
      <w:r w:rsidR="00271AE9">
        <w:t>489,6</w:t>
      </w:r>
      <w:r w:rsidRPr="00042152">
        <w:t xml:space="preserve"> tūkst</w:t>
      </w:r>
      <w:r w:rsidR="007F5CBE" w:rsidRPr="00042152">
        <w:t>. Eur yra tikslinės paskirties</w:t>
      </w:r>
      <w:r w:rsidR="00946A38" w:rsidRPr="00042152">
        <w:t xml:space="preserve">, </w:t>
      </w:r>
      <w:r w:rsidR="00271AE9">
        <w:t>740,3</w:t>
      </w:r>
      <w:r w:rsidR="00946A38" w:rsidRPr="00042152">
        <w:t xml:space="preserve"> tūkst</w:t>
      </w:r>
      <w:r w:rsidR="00790DD9">
        <w:t xml:space="preserve">. </w:t>
      </w:r>
      <w:r w:rsidR="00946A38" w:rsidRPr="00042152">
        <w:t>Eur savivaldybės lėšos.</w:t>
      </w:r>
    </w:p>
    <w:p w14:paraId="407643CC" w14:textId="77777777" w:rsidR="001A66BE" w:rsidRDefault="001A66BE" w:rsidP="00D76F64">
      <w:pPr>
        <w:spacing w:after="0" w:line="360" w:lineRule="auto"/>
        <w:ind w:firstLine="1296"/>
        <w:jc w:val="both"/>
      </w:pPr>
    </w:p>
    <w:p w14:paraId="5CF0DF1D" w14:textId="77777777" w:rsidR="00EC370C" w:rsidRPr="00EC370C" w:rsidRDefault="00EC370C" w:rsidP="00EC370C">
      <w:pPr>
        <w:jc w:val="center"/>
        <w:rPr>
          <w:b/>
        </w:rPr>
      </w:pPr>
      <w:r>
        <w:rPr>
          <w:b/>
        </w:rPr>
        <w:t>II. IŠLAIDOS</w:t>
      </w:r>
    </w:p>
    <w:p w14:paraId="1FAC536C" w14:textId="76A8451F" w:rsidR="0069069E" w:rsidRDefault="0069069E" w:rsidP="0069069E">
      <w:pPr>
        <w:spacing w:line="360" w:lineRule="auto"/>
        <w:ind w:firstLine="1296"/>
        <w:jc w:val="both"/>
      </w:pPr>
      <w:r w:rsidRPr="0052662A">
        <w:t>20</w:t>
      </w:r>
      <w:r w:rsidR="00946A38" w:rsidRPr="0052662A">
        <w:t>2</w:t>
      </w:r>
      <w:r w:rsidR="00271AE9" w:rsidRPr="0052662A">
        <w:t>2</w:t>
      </w:r>
      <w:r w:rsidR="00946A38" w:rsidRPr="0052662A">
        <w:t xml:space="preserve"> </w:t>
      </w:r>
      <w:r w:rsidRPr="0052662A">
        <w:t xml:space="preserve">m. Molėtų rajono savivaldybės patikslintas išlaidų planas įvykdytas </w:t>
      </w:r>
      <w:r w:rsidR="0052662A">
        <w:t>96,1</w:t>
      </w:r>
      <w:r w:rsidRPr="00FF361A">
        <w:t xml:space="preserve"> proc.</w:t>
      </w:r>
      <w:r>
        <w:t xml:space="preserve"> </w:t>
      </w:r>
    </w:p>
    <w:p w14:paraId="310921B0" w14:textId="56E0AF50" w:rsidR="0069069E" w:rsidRDefault="0069069E" w:rsidP="0069069E">
      <w:pPr>
        <w:spacing w:line="360" w:lineRule="auto"/>
        <w:ind w:firstLine="1296"/>
        <w:jc w:val="both"/>
      </w:pPr>
      <w:r w:rsidRPr="00D678FC">
        <w:t xml:space="preserve">Duomenys apie </w:t>
      </w:r>
      <w:r>
        <w:t>Molėtų</w:t>
      </w:r>
      <w:r w:rsidRPr="00D678FC">
        <w:t xml:space="preserve"> rajono savivaldybės 20</w:t>
      </w:r>
      <w:r w:rsidR="00946A38">
        <w:t>2</w:t>
      </w:r>
      <w:r w:rsidR="00271AE9">
        <w:t>2</w:t>
      </w:r>
      <w:r w:rsidRPr="00D678FC">
        <w:t xml:space="preserve"> metų biudžeto išlaidų įvykdymą pagal valstybės funkcijas</w:t>
      </w:r>
      <w:r>
        <w:t xml:space="preserve"> pateikiami lentelėje</w:t>
      </w:r>
      <w:r w:rsidRPr="00D678FC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668"/>
        <w:gridCol w:w="1274"/>
        <w:gridCol w:w="1210"/>
        <w:gridCol w:w="1147"/>
        <w:gridCol w:w="1019"/>
        <w:gridCol w:w="1237"/>
      </w:tblGrid>
      <w:tr w:rsidR="00514C9F" w:rsidRPr="0052662A" w14:paraId="3D52E7E6" w14:textId="77777777" w:rsidTr="001A44B6">
        <w:trPr>
          <w:trHeight w:val="1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02AE" w14:textId="002E7A55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 xml:space="preserve">Funkcinės 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</w:r>
            <w:r w:rsidR="00790DD9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klasifika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 w:rsid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c</w:t>
            </w:r>
            <w:r w:rsidR="00790DD9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ijos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kodas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6C0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Išlaidos pagal funkcinę klasifikaciją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FEA" w14:textId="41014F9A" w:rsidR="0052662A" w:rsidRPr="0052662A" w:rsidRDefault="00790DD9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Patiksl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i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n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tas</w:t>
            </w:r>
            <w:r w:rsidR="0052662A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="0052662A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2022 m. planas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784" w14:textId="6A57A8B9" w:rsidR="0052662A" w:rsidRPr="0052662A" w:rsidRDefault="00790DD9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Vykdy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as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60B" w14:textId="3FF0C2FC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Skirtu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mas tarp  </w:t>
            </w:r>
            <w:r w:rsidR="00790DD9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vykdy</w:t>
            </w:r>
            <w:r w:rsid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m</w:t>
            </w:r>
            <w:r w:rsidR="00790DD9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o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ir plano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DD6" w14:textId="2EC49D05" w:rsidR="0052662A" w:rsidRPr="0052662A" w:rsidRDefault="00790DD9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Įvykdy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o</w:t>
            </w:r>
            <w:r w:rsidR="0052662A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="0052662A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procen</w:t>
            </w:r>
            <w:r w:rsidR="001A44B6"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 w:rsidR="0052662A"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1C6A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Išlaidų procentas 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nuo visų </w:t>
            </w: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>išlaidų</w:t>
            </w:r>
          </w:p>
        </w:tc>
      </w:tr>
      <w:tr w:rsidR="00514C9F" w:rsidRPr="0052662A" w14:paraId="6EFD999C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30C8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469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Bendros valstybės paslaugos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C1F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2971,4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22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2951,8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D9F6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80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62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9,86</w:t>
            </w:r>
          </w:p>
        </w:tc>
      </w:tr>
      <w:tr w:rsidR="00514C9F" w:rsidRPr="0052662A" w14:paraId="09C3A33C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549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C4D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Gynyba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B50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553,1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0C5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428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510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-125,1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51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7EE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1,43</w:t>
            </w:r>
          </w:p>
        </w:tc>
      </w:tr>
      <w:tr w:rsidR="00514C9F" w:rsidRPr="0052662A" w14:paraId="4192B8E3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C52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01E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Viešoji tvarka ir visuomenės apsauga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FEE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720,2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FEA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720,2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7C6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2D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F4A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2,41</w:t>
            </w:r>
          </w:p>
        </w:tc>
      </w:tr>
      <w:tr w:rsidR="00514C9F" w:rsidRPr="0052662A" w14:paraId="193BAC6C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1CF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7C5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Ekonomika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4AD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2594,2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EF6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2508,9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C3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4D5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C98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8,38</w:t>
            </w:r>
          </w:p>
        </w:tc>
      </w:tr>
      <w:tr w:rsidR="00514C9F" w:rsidRPr="0052662A" w14:paraId="0D490EC9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F9D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C3C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Aplinkos apsauga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E76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936,2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7AA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860,3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396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84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7A1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2,87</w:t>
            </w:r>
          </w:p>
        </w:tc>
      </w:tr>
      <w:tr w:rsidR="00514C9F" w:rsidRPr="0052662A" w14:paraId="4DA558D3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D5E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968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Būstas ir komunalinis ūkis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E7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2489,4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5B4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2198,3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65E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-291,1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380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6B1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7,34</w:t>
            </w:r>
          </w:p>
        </w:tc>
      </w:tr>
      <w:tr w:rsidR="00514C9F" w:rsidRPr="0052662A" w14:paraId="375A71C0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7D27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D97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Sveikatos apsauga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D5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215,7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05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208,2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4ED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CD8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EA8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0,70</w:t>
            </w:r>
          </w:p>
        </w:tc>
      </w:tr>
      <w:tr w:rsidR="00514C9F" w:rsidRPr="0052662A" w14:paraId="2FCFF140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9E81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6D8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Poilsis, kultūra ir religija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6FD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4683,2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C6E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4627,4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D9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E6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5F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15,46</w:t>
            </w:r>
          </w:p>
        </w:tc>
      </w:tr>
      <w:tr w:rsidR="00514C9F" w:rsidRPr="0052662A" w14:paraId="0531C337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565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908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Švietimas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C9E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10232,4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D288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10129,4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9A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327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692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33,84</w:t>
            </w:r>
          </w:p>
        </w:tc>
      </w:tr>
      <w:tr w:rsidR="00514C9F" w:rsidRPr="0052662A" w14:paraId="357FAD72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D857" w14:textId="77777777" w:rsidR="0052662A" w:rsidRPr="0052662A" w:rsidRDefault="0052662A" w:rsidP="00526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6C2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 apsauga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290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5765,8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8E0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5299,6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371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-466,2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D7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C91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17,71</w:t>
            </w:r>
          </w:p>
        </w:tc>
      </w:tr>
      <w:tr w:rsidR="00514C9F" w:rsidRPr="0052662A" w14:paraId="434B59BB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EED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2FF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Iš viso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5DD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31161,6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855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29932,1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80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-1229,5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ECD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264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100,00</w:t>
            </w:r>
          </w:p>
        </w:tc>
      </w:tr>
      <w:tr w:rsidR="00514C9F" w:rsidRPr="0052662A" w14:paraId="6675292E" w14:textId="77777777" w:rsidTr="001A44B6">
        <w:trPr>
          <w:trHeight w:val="162"/>
        </w:trPr>
        <w:tc>
          <w:tcPr>
            <w:tcW w:w="4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BB9" w14:textId="48694F77" w:rsidR="00514C9F" w:rsidRPr="0052662A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 Finansinių įsipareigojimų vykdymas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C6C" w14:textId="77777777" w:rsidR="00514C9F" w:rsidRPr="0052662A" w:rsidRDefault="00514C9F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515,8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A82" w14:textId="77777777" w:rsidR="00514C9F" w:rsidRPr="0052662A" w:rsidRDefault="00514C9F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515,8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DD0" w14:textId="77777777" w:rsidR="00514C9F" w:rsidRPr="0052662A" w:rsidRDefault="00514C9F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D35" w14:textId="77777777" w:rsidR="00514C9F" w:rsidRPr="0052662A" w:rsidRDefault="00514C9F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062" w14:textId="77777777" w:rsidR="00514C9F" w:rsidRPr="0052662A" w:rsidRDefault="00514C9F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514C9F" w:rsidRPr="0052662A" w14:paraId="46C57270" w14:textId="77777777" w:rsidTr="001A44B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1CA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152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Iš viso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6CF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31677,4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BE1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30447,9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7EC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-1229,5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2C3" w14:textId="77777777" w:rsidR="0052662A" w:rsidRPr="0052662A" w:rsidRDefault="0052662A" w:rsidP="005266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E5D" w14:textId="77777777" w:rsidR="0052662A" w:rsidRPr="0052662A" w:rsidRDefault="0052662A" w:rsidP="005266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2662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</w:tr>
    </w:tbl>
    <w:p w14:paraId="56F2A315" w14:textId="02898FD9" w:rsidR="0069069E" w:rsidRDefault="0069069E" w:rsidP="00514C9F">
      <w:pPr>
        <w:spacing w:line="360" w:lineRule="auto"/>
        <w:jc w:val="both"/>
      </w:pPr>
      <w:r>
        <w:tab/>
        <w:t xml:space="preserve">100 procentų įvykdytos </w:t>
      </w:r>
      <w:r w:rsidR="00FF361A">
        <w:t>tik</w:t>
      </w:r>
      <w:r w:rsidR="00E272F7">
        <w:t xml:space="preserve"> </w:t>
      </w:r>
      <w:r>
        <w:t>viešosios tvarkos ir visuomenės apsaugos  (priešgaisrinės saugos)  valstybės funkcijos.</w:t>
      </w:r>
    </w:p>
    <w:p w14:paraId="541D05B4" w14:textId="23F5D4BF" w:rsidR="0069069E" w:rsidRPr="00E04C39" w:rsidRDefault="0069069E" w:rsidP="00956C3D">
      <w:pPr>
        <w:spacing w:line="360" w:lineRule="auto"/>
        <w:jc w:val="both"/>
      </w:pPr>
      <w:r w:rsidRPr="00956C3D">
        <w:t xml:space="preserve"> </w:t>
      </w:r>
      <w:r w:rsidRPr="00956C3D">
        <w:tab/>
        <w:t>Savivaldybės biudžeto lėšų panaudojimo pagal funkcinę išlaidų klasifikaciją, didžiausią savivaldybės išlaidų dalį -</w:t>
      </w:r>
      <w:r w:rsidR="0052662A">
        <w:t>33,84</w:t>
      </w:r>
      <w:r w:rsidRPr="00956C3D">
        <w:t xml:space="preserve"> proc. sudaro išlaidos švietimui  (</w:t>
      </w:r>
      <w:r w:rsidR="0052662A">
        <w:rPr>
          <w:color w:val="000000"/>
          <w:sz w:val="22"/>
        </w:rPr>
        <w:t>10129,4</w:t>
      </w:r>
      <w:r w:rsidRPr="00956C3D">
        <w:rPr>
          <w:color w:val="000000"/>
          <w:sz w:val="22"/>
        </w:rPr>
        <w:t xml:space="preserve"> </w:t>
      </w:r>
      <w:r w:rsidRPr="00956C3D">
        <w:t xml:space="preserve">tūkst. Eur). Antra pagal panaudotas lėšas  yra   </w:t>
      </w:r>
      <w:r w:rsidR="00FF361A">
        <w:rPr>
          <w:rFonts w:eastAsia="Times New Roman" w:cs="Times New Roman"/>
          <w:color w:val="000000"/>
          <w:sz w:val="22"/>
          <w:lang w:eastAsia="lt-LT"/>
        </w:rPr>
        <w:t>s</w:t>
      </w:r>
      <w:r w:rsidR="00FF361A" w:rsidRPr="00FF361A">
        <w:rPr>
          <w:rFonts w:eastAsia="Times New Roman" w:cs="Times New Roman"/>
          <w:color w:val="000000"/>
          <w:sz w:val="22"/>
          <w:lang w:eastAsia="lt-LT"/>
        </w:rPr>
        <w:t>ocialinė</w:t>
      </w:r>
      <w:r w:rsidR="00FF361A">
        <w:rPr>
          <w:rFonts w:eastAsia="Times New Roman" w:cs="Times New Roman"/>
          <w:color w:val="000000"/>
          <w:sz w:val="22"/>
          <w:lang w:eastAsia="lt-LT"/>
        </w:rPr>
        <w:t>s</w:t>
      </w:r>
      <w:r w:rsidR="00FF361A" w:rsidRPr="00FF361A">
        <w:rPr>
          <w:rFonts w:eastAsia="Times New Roman" w:cs="Times New Roman"/>
          <w:color w:val="000000"/>
          <w:sz w:val="22"/>
          <w:lang w:eastAsia="lt-LT"/>
        </w:rPr>
        <w:t xml:space="preserve"> apsaug</w:t>
      </w:r>
      <w:r w:rsidR="00FF361A">
        <w:rPr>
          <w:rFonts w:eastAsia="Times New Roman" w:cs="Times New Roman"/>
          <w:color w:val="000000"/>
          <w:sz w:val="22"/>
          <w:lang w:eastAsia="lt-LT"/>
        </w:rPr>
        <w:t>os</w:t>
      </w:r>
      <w:r w:rsidRPr="00956C3D">
        <w:t xml:space="preserve"> funkcija </w:t>
      </w:r>
      <w:r w:rsidR="0052662A">
        <w:rPr>
          <w:color w:val="000000"/>
          <w:sz w:val="22"/>
        </w:rPr>
        <w:t>5299,6</w:t>
      </w:r>
      <w:r w:rsidRPr="00956C3D">
        <w:rPr>
          <w:color w:val="000000"/>
          <w:sz w:val="22"/>
        </w:rPr>
        <w:t xml:space="preserve"> </w:t>
      </w:r>
      <w:r w:rsidRPr="00956C3D">
        <w:t xml:space="preserve"> tūkst.  Eur  arba </w:t>
      </w:r>
      <w:r w:rsidR="0052662A">
        <w:t>17,71</w:t>
      </w:r>
      <w:r w:rsidRPr="00956C3D">
        <w:t xml:space="preserve"> proc. visų 20</w:t>
      </w:r>
      <w:r w:rsidR="00956C3D" w:rsidRPr="00956C3D">
        <w:t>2</w:t>
      </w:r>
      <w:r w:rsidR="0052662A">
        <w:t>2</w:t>
      </w:r>
      <w:r w:rsidRPr="00956C3D">
        <w:t xml:space="preserve"> m.  savivaldybės biudžeto išlaidų.</w:t>
      </w:r>
    </w:p>
    <w:p w14:paraId="7870B263" w14:textId="62EDFCEF" w:rsidR="0069069E" w:rsidRDefault="0069069E" w:rsidP="0069069E">
      <w:pPr>
        <w:spacing w:line="360" w:lineRule="auto"/>
        <w:jc w:val="both"/>
      </w:pPr>
      <w:r w:rsidRPr="008C7002">
        <w:tab/>
      </w:r>
      <w:r w:rsidR="00514C9F" w:rsidRPr="00514C9F">
        <w:t>46,6</w:t>
      </w:r>
      <w:r w:rsidRPr="00514C9F">
        <w:t xml:space="preserve">  proc. (</w:t>
      </w:r>
      <w:r w:rsidR="00514C9F" w:rsidRPr="00514C9F">
        <w:t>14181</w:t>
      </w:r>
      <w:r w:rsidRPr="00514C9F">
        <w:t xml:space="preserve"> tūkst. eur</w:t>
      </w:r>
      <w:r w:rsidR="00790DD9">
        <w:t>ų</w:t>
      </w:r>
      <w:r w:rsidRPr="00514C9F">
        <w:t>) nuo visų savivaldybės biudžeto išlaidų pagal ekonominę klasifikaciją sudaro išlaidos darbo užmokesčiui ir socialinio draudimo įmokoms.</w:t>
      </w:r>
      <w:r>
        <w:t xml:space="preserve"> </w:t>
      </w:r>
    </w:p>
    <w:p w14:paraId="167884AA" w14:textId="1413B1DE" w:rsidR="0069069E" w:rsidRDefault="0069069E" w:rsidP="0069069E">
      <w:pPr>
        <w:spacing w:line="360" w:lineRule="auto"/>
        <w:ind w:firstLine="1296"/>
        <w:jc w:val="both"/>
      </w:pPr>
      <w:r>
        <w:t>Lėšų pasiskirstymas pagal ekonominę klasifikaciją pateikiamas lentelėje:</w:t>
      </w:r>
    </w:p>
    <w:tbl>
      <w:tblPr>
        <w:tblW w:w="10051" w:type="dxa"/>
        <w:tblLook w:val="04A0" w:firstRow="1" w:lastRow="0" w:firstColumn="1" w:lastColumn="0" w:noHBand="0" w:noVBand="1"/>
      </w:tblPr>
      <w:tblGrid>
        <w:gridCol w:w="686"/>
        <w:gridCol w:w="4222"/>
        <w:gridCol w:w="1183"/>
        <w:gridCol w:w="1134"/>
        <w:gridCol w:w="1417"/>
        <w:gridCol w:w="1409"/>
      </w:tblGrid>
      <w:tr w:rsidR="00514C9F" w:rsidRPr="00514C9F" w14:paraId="1F16A757" w14:textId="77777777" w:rsidTr="002B2A0D">
        <w:trPr>
          <w:trHeight w:val="8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F7E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Eil.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 xml:space="preserve"> Nr. 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40A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Išlaidų ekonominė klasifikacija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9B8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Planas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 xml:space="preserve">2022 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BDF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Išlaidų suma,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 xml:space="preserve"> tūkst.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6A9" w14:textId="0A308484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Nepanau</w:t>
            </w:r>
            <w:r w:rsidR="002B2A0D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-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dotas likutis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38E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Procentas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 xml:space="preserve"> nuo bendrų </w:t>
            </w: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>išlaidų</w:t>
            </w:r>
          </w:p>
        </w:tc>
      </w:tr>
      <w:tr w:rsidR="00514C9F" w:rsidRPr="00514C9F" w14:paraId="7E662C76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C89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1. 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C00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Darbo užmokestis ir socialinio draudimo įmokos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B284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14203,3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35E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14181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694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22,3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5E8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46,6</w:t>
            </w:r>
          </w:p>
        </w:tc>
      </w:tr>
      <w:tr w:rsidR="00514C9F" w:rsidRPr="00514C9F" w14:paraId="57171A0E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A23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2. 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085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Prekių ir paslaugų įsigijimo išlaidos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8C96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8107,4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F05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7590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70D1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517,4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DF22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24,9</w:t>
            </w:r>
          </w:p>
        </w:tc>
      </w:tr>
      <w:tr w:rsidR="00514C9F" w:rsidRPr="00514C9F" w14:paraId="481CBF98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AD9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3. 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F8D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Palūkanos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7152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1C40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557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606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0,1</w:t>
            </w:r>
          </w:p>
        </w:tc>
      </w:tr>
      <w:tr w:rsidR="00514C9F" w:rsidRPr="00514C9F" w14:paraId="1AB87E34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4C7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4. 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F82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Subsidijos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6DF5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E87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352,5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8AC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2,1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9FA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1,2</w:t>
            </w:r>
          </w:p>
        </w:tc>
      </w:tr>
      <w:tr w:rsidR="00514C9F" w:rsidRPr="00514C9F" w14:paraId="49DBFC81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753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B1A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Socialinės išmokos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4704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2753,3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4BC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2687,8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9CC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65,5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75C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8,8</w:t>
            </w:r>
          </w:p>
        </w:tc>
      </w:tr>
      <w:tr w:rsidR="00514C9F" w:rsidRPr="00514C9F" w14:paraId="3060EF21" w14:textId="77777777" w:rsidTr="002B2A0D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0AA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6.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E65" w14:textId="141B322C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Materialiojo ir nematerialio</w:t>
            </w:r>
            <w:r w:rsid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jo</w:t>
            </w: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turto įsigijimo išlaidos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ADB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5F3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5077,6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C36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622,2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830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16,7</w:t>
            </w:r>
          </w:p>
        </w:tc>
      </w:tr>
      <w:tr w:rsidR="00514C9F" w:rsidRPr="00514C9F" w14:paraId="3BACD8C0" w14:textId="77777777" w:rsidTr="002B2A0D">
        <w:trPr>
          <w:trHeight w:val="4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67B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6B7" w14:textId="77777777" w:rsidR="00514C9F" w:rsidRPr="00514C9F" w:rsidRDefault="00514C9F" w:rsidP="00514C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Finansinių įsipareigojimų vykdymo išlaidos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6DD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3D7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515,8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ADB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BEAE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color w:val="000000"/>
                <w:szCs w:val="24"/>
                <w:lang w:eastAsia="lt-LT"/>
              </w:rPr>
              <w:t>1,7</w:t>
            </w:r>
          </w:p>
        </w:tc>
      </w:tr>
      <w:tr w:rsidR="00514C9F" w:rsidRPr="00514C9F" w14:paraId="6C177EC7" w14:textId="77777777" w:rsidTr="002B2A0D">
        <w:trPr>
          <w:trHeight w:val="300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8C9" w14:textId="77777777" w:rsidR="00514C9F" w:rsidRPr="00514C9F" w:rsidRDefault="00514C9F" w:rsidP="00514C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B75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BD6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30447,9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C88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1229,5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BA9" w14:textId="77777777" w:rsidR="00514C9F" w:rsidRPr="00514C9F" w:rsidRDefault="00514C9F" w:rsidP="00514C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514C9F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100,00</w:t>
            </w:r>
          </w:p>
        </w:tc>
      </w:tr>
    </w:tbl>
    <w:p w14:paraId="199C810E" w14:textId="72442F11" w:rsidR="005862FB" w:rsidRPr="005827DD" w:rsidRDefault="00D76F64" w:rsidP="005862FB">
      <w:pPr>
        <w:spacing w:line="360" w:lineRule="auto"/>
        <w:ind w:firstLine="720"/>
        <w:jc w:val="center"/>
        <w:rPr>
          <w:b/>
        </w:rPr>
      </w:pPr>
      <w:r>
        <w:rPr>
          <w:b/>
        </w:rPr>
        <w:t>I</w:t>
      </w:r>
      <w:r w:rsidR="005862FB">
        <w:rPr>
          <w:b/>
        </w:rPr>
        <w:t>II. SKOLINIAI ĮSIPAREIGOJIMAI</w:t>
      </w:r>
    </w:p>
    <w:p w14:paraId="240FA405" w14:textId="0F33D293" w:rsidR="00CE7F6F" w:rsidRDefault="005862FB" w:rsidP="00CE7F6F">
      <w:pPr>
        <w:spacing w:line="360" w:lineRule="auto"/>
        <w:ind w:firstLine="720"/>
        <w:jc w:val="both"/>
      </w:pPr>
      <w:r>
        <w:t xml:space="preserve">  </w:t>
      </w:r>
      <w:r w:rsidR="00CE7F6F">
        <w:t xml:space="preserve">  202</w:t>
      </w:r>
      <w:r w:rsidR="00514C9F">
        <w:t>3</w:t>
      </w:r>
      <w:r w:rsidR="00CE7F6F">
        <w:t xml:space="preserve"> m. sausio 1 d. savivaldybės biudžetinės įstaigos mokėtinų sumų, kurių vykdymo terminas praleistas, neturi. </w:t>
      </w:r>
    </w:p>
    <w:p w14:paraId="4A352E97" w14:textId="56FDC771" w:rsidR="00CE03D5" w:rsidRDefault="00CE03D5" w:rsidP="00CE7F6F">
      <w:pPr>
        <w:spacing w:line="360" w:lineRule="auto"/>
        <w:ind w:firstLine="720"/>
        <w:jc w:val="both"/>
      </w:pPr>
      <w:r w:rsidRPr="00B600BD">
        <w:rPr>
          <w:b/>
        </w:rPr>
        <w:t xml:space="preserve"> </w:t>
      </w:r>
      <w:r>
        <w:rPr>
          <w:b/>
        </w:rPr>
        <w:t xml:space="preserve">   </w:t>
      </w:r>
      <w:r>
        <w:t>202</w:t>
      </w:r>
      <w:r w:rsidR="00BF1AFA">
        <w:t>2</w:t>
      </w:r>
      <w:r>
        <w:t xml:space="preserve"> </w:t>
      </w:r>
      <w:r w:rsidRPr="00B600BD">
        <w:t>m. gruodžio 31</w:t>
      </w:r>
      <w:r>
        <w:t xml:space="preserve"> </w:t>
      </w:r>
      <w:r w:rsidRPr="00B600BD">
        <w:t>d. savivaldybės biudžeto kre</w:t>
      </w:r>
      <w:r>
        <w:t xml:space="preserve">ditorinis įsiskolinimas sudarė </w:t>
      </w:r>
      <w:r w:rsidR="00292EEC">
        <w:t xml:space="preserve">4353,1 </w:t>
      </w:r>
      <w:r w:rsidRPr="00ED4502">
        <w:t>tūkst. Eur</w:t>
      </w:r>
      <w:r w:rsidRPr="00B36EF4">
        <w:t>,</w:t>
      </w:r>
      <w:r w:rsidRPr="00B600BD">
        <w:rPr>
          <w:b/>
        </w:rPr>
        <w:t xml:space="preserve"> </w:t>
      </w:r>
      <w:r>
        <w:t xml:space="preserve">iš šios sumos </w:t>
      </w:r>
      <w:r w:rsidR="00292EEC">
        <w:t>3696,8</w:t>
      </w:r>
      <w:r w:rsidRPr="00B600BD">
        <w:t xml:space="preserve"> tūkst.</w:t>
      </w:r>
      <w:r>
        <w:t xml:space="preserve"> </w:t>
      </w:r>
      <w:r w:rsidRPr="00B600BD">
        <w:t xml:space="preserve">Eur </w:t>
      </w:r>
      <w:r>
        <w:t xml:space="preserve">sudaro ilgalaikių paskolų suma, </w:t>
      </w:r>
      <w:r w:rsidR="00BF1AFA">
        <w:t>656,3</w:t>
      </w:r>
      <w:r>
        <w:t xml:space="preserve"> tūkst. Eur įstaigų skola tiekėjams. Per 202</w:t>
      </w:r>
      <w:r w:rsidR="00BF1AFA">
        <w:t>2</w:t>
      </w:r>
      <w:r>
        <w:t xml:space="preserve"> m. savivaldybės biudžetinių įstaigų kreditorinis įsiskolinimas  padidėjo </w:t>
      </w:r>
      <w:r w:rsidR="00292EEC">
        <w:t>15,3</w:t>
      </w:r>
      <w:r>
        <w:t xml:space="preserve"> tūkst. Eur</w:t>
      </w:r>
      <w:r w:rsidR="00292EEC">
        <w:t>. administracijos 586,5 tūkst. Eur (dėl padidėjusios grąžintinų valstybės dotacijų sumos- 284,2 tūkst. Eur ir dėl kompensacijų šildymui išaugusios sumos- 252,7 tūkst. Eur). Informacija pateikiama lentelėje: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0"/>
        <w:gridCol w:w="4960"/>
        <w:gridCol w:w="1421"/>
        <w:gridCol w:w="1418"/>
        <w:gridCol w:w="1559"/>
      </w:tblGrid>
      <w:tr w:rsidR="00292EEC" w:rsidRPr="00292EEC" w14:paraId="464399D1" w14:textId="77777777" w:rsidTr="00292EE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E483" w14:textId="6B5F3040" w:rsidR="00292EEC" w:rsidRPr="00292EEC" w:rsidRDefault="00292EEC" w:rsidP="00292E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Eil</w:t>
            </w:r>
            <w:r w:rsidR="00DE7D87"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Nr. 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087" w14:textId="77777777" w:rsidR="00292EEC" w:rsidRPr="00292EEC" w:rsidRDefault="00292EEC" w:rsidP="00292E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Mokėtinos sumos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198" w14:textId="77777777" w:rsidR="00292EEC" w:rsidRPr="00292EEC" w:rsidRDefault="00292EEC" w:rsidP="00292E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Data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30B0" w14:textId="77777777" w:rsidR="00292EEC" w:rsidRPr="00292EEC" w:rsidRDefault="00292EEC" w:rsidP="00292E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Skirtumas </w:t>
            </w: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tarp 2023 ir 2022 m. </w:t>
            </w:r>
          </w:p>
        </w:tc>
      </w:tr>
      <w:tr w:rsidR="00292EEC" w:rsidRPr="00292EEC" w14:paraId="627F6BDA" w14:textId="77777777" w:rsidTr="00292EEC">
        <w:trPr>
          <w:trHeight w:val="6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483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A69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94D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2022-01-01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990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2023-01-01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9B2A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292EEC" w:rsidRPr="00292EEC" w14:paraId="0F38F17B" w14:textId="77777777" w:rsidTr="00292EEC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2FB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1.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987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Įstaigų mokėtinos sumos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1C9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9BAB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C2E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15,3</w:t>
            </w:r>
          </w:p>
        </w:tc>
      </w:tr>
      <w:tr w:rsidR="00292EEC" w:rsidRPr="00292EEC" w14:paraId="60019F47" w14:textId="77777777" w:rsidTr="00292E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D53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11F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Administracijos mokėtinos sumos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8667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5BA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624,6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EEA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586,5</w:t>
            </w:r>
          </w:p>
        </w:tc>
      </w:tr>
      <w:tr w:rsidR="00292EEC" w:rsidRPr="00292EEC" w14:paraId="311EC830" w14:textId="77777777" w:rsidTr="00292EE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5071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D3D" w14:textId="77777777" w:rsidR="00292EEC" w:rsidRPr="00292EEC" w:rsidRDefault="00292EEC" w:rsidP="00292E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Įsipareigojimai pagal ilgalaikes paskolas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CFF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3312,7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298B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3696,8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3E5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color w:val="000000"/>
                <w:szCs w:val="24"/>
                <w:lang w:eastAsia="lt-LT"/>
              </w:rPr>
              <w:t>384,1</w:t>
            </w:r>
          </w:p>
        </w:tc>
      </w:tr>
      <w:tr w:rsidR="00292EEC" w:rsidRPr="00292EEC" w14:paraId="262400C3" w14:textId="77777777" w:rsidTr="00292EEC">
        <w:trPr>
          <w:trHeight w:val="31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A26D" w14:textId="77777777" w:rsidR="00292EEC" w:rsidRPr="00292EEC" w:rsidRDefault="00292EEC" w:rsidP="00292E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090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185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4353,1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2DF" w14:textId="77777777" w:rsidR="00292EEC" w:rsidRPr="00292EEC" w:rsidRDefault="00292EEC" w:rsidP="00292EE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292EEC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985,9</w:t>
            </w:r>
          </w:p>
        </w:tc>
      </w:tr>
    </w:tbl>
    <w:p w14:paraId="28656307" w14:textId="23BCA4CC" w:rsidR="00CE7F6F" w:rsidRDefault="00CE7F6F" w:rsidP="00CE03D5">
      <w:pPr>
        <w:spacing w:line="360" w:lineRule="auto"/>
        <w:jc w:val="both"/>
      </w:pPr>
      <w:r>
        <w:t xml:space="preserve">           </w:t>
      </w:r>
      <w:r>
        <w:rPr>
          <w:b/>
        </w:rPr>
        <w:t xml:space="preserve">  </w:t>
      </w:r>
      <w:r w:rsidR="00274D74">
        <w:rPr>
          <w:b/>
        </w:rPr>
        <w:t xml:space="preserve">  </w:t>
      </w:r>
      <w:r w:rsidR="00CE03D5">
        <w:rPr>
          <w:b/>
        </w:rPr>
        <w:t>S</w:t>
      </w:r>
      <w:r>
        <w:t xml:space="preserve">avivaldybės biudžetinės įstaigos  liko skolingos </w:t>
      </w:r>
      <w:r w:rsidR="00292EEC">
        <w:t>31,7</w:t>
      </w:r>
      <w:r>
        <w:t xml:space="preserve"> tūkst. Eur. Įstaigų įsiskolinimai yra už komunalinių paslaugų, prekių ir kitų paslaugų įsigijimą, transporto išlaikymą. </w:t>
      </w:r>
    </w:p>
    <w:p w14:paraId="5494DC68" w14:textId="69E7062D" w:rsidR="00CE7F6F" w:rsidRDefault="00292EEC" w:rsidP="00292EEC">
      <w:pPr>
        <w:spacing w:line="360" w:lineRule="auto"/>
        <w:jc w:val="both"/>
      </w:pPr>
      <w:r>
        <w:t xml:space="preserve">               </w:t>
      </w:r>
      <w:r w:rsidR="00F255F2">
        <w:t>S</w:t>
      </w:r>
      <w:r w:rsidR="00CE7F6F">
        <w:t xml:space="preserve">avivaldybės įsiskolinimas </w:t>
      </w:r>
      <w:r w:rsidR="00F255F2">
        <w:t>pagal mokėtinų sumų ataskaitą (priedą Nr. 9)</w:t>
      </w:r>
      <w:r w:rsidR="00BF1AFA">
        <w:t xml:space="preserve"> ir prognozuojamas mokėtinų sumų pokytis 2023 m. gruodžio 31 d. </w:t>
      </w:r>
      <w:r w:rsidR="00F255F2">
        <w:t xml:space="preserve"> pateikiamas lentelėje: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3609"/>
        <w:gridCol w:w="1263"/>
        <w:gridCol w:w="1553"/>
        <w:gridCol w:w="1746"/>
        <w:gridCol w:w="1150"/>
      </w:tblGrid>
      <w:tr w:rsidR="00BF1AFA" w:rsidRPr="00BF1AFA" w14:paraId="0955DB01" w14:textId="77777777" w:rsidTr="00BF1AFA">
        <w:trPr>
          <w:trHeight w:val="6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C8EF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t-LT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3CA3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B73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5A7E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Prognozuojamos mokėtinos </w:t>
            </w: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br/>
              <w:t>sumos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8D4E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</w:tr>
      <w:tr w:rsidR="00BF1AFA" w:rsidRPr="00BF1AFA" w14:paraId="1C8DF101" w14:textId="77777777" w:rsidTr="00BF1AFA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DF8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Eil.</w:t>
            </w: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Nr.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D4E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Asignavimų valdytojai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DDA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Mokėtinos sumos</w:t>
            </w: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2022-12-31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990E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Planuojamas mokėtinų sumų sumažėjimas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528" w14:textId="43FAF67E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Prognozuoja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mos mokėtinos sumos</w:t>
            </w: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 2023-12-31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058F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Mokėtinų sumų pokytis</w:t>
            </w:r>
          </w:p>
        </w:tc>
      </w:tr>
      <w:tr w:rsidR="00BF1AFA" w:rsidRPr="00BF1AFA" w14:paraId="18BADDD0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3BB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1.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188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Molėtų rajono savivaldybės administracija, iš jų: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BE0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624,6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8AD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303,4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8B2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321,2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1F4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303,4</w:t>
            </w:r>
          </w:p>
        </w:tc>
      </w:tr>
      <w:tr w:rsidR="00BF1AFA" w:rsidRPr="00BF1AFA" w14:paraId="50A58ABC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4E4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1.1.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EBD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Darbo užmokestis ir socialinis draudimas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F52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B47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F5E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432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</w:tr>
      <w:tr w:rsidR="00BF1AFA" w:rsidRPr="00BF1AFA" w14:paraId="188C8600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D74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1.2.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F35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Prekių ir paslaugų įsigijimo išlaidos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5AA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25,1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A8D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D5D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FF7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0</w:t>
            </w:r>
          </w:p>
        </w:tc>
      </w:tr>
      <w:tr w:rsidR="00BF1AFA" w:rsidRPr="00BF1AFA" w14:paraId="3AB5A764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7DB9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1.3.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63C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Grąžintinų valstybės dotacijų suma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871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284,2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F6E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369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2AF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131,4</w:t>
            </w:r>
          </w:p>
        </w:tc>
      </w:tr>
      <w:tr w:rsidR="00BF1AFA" w:rsidRPr="00BF1AFA" w14:paraId="64AB43D2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7A6D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1.4.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2EF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Socialinės išmokos (pašalpos)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4C6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252,7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3A0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6D8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E83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152</w:t>
            </w:r>
          </w:p>
        </w:tc>
      </w:tr>
      <w:tr w:rsidR="00BF1AFA" w:rsidRPr="00BF1AFA" w14:paraId="4B8F6971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F6D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1.5.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DCD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Materialiojo ir nematerialiojo turto įsigijimo išlaidos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399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62,1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247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4A3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8B2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20</w:t>
            </w:r>
          </w:p>
        </w:tc>
      </w:tr>
      <w:tr w:rsidR="00BF1AFA" w:rsidRPr="00BF1AFA" w14:paraId="09EBBBE9" w14:textId="77777777" w:rsidTr="00BF1AFA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9A7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2.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131" w14:textId="77777777" w:rsidR="00BF1AFA" w:rsidRPr="00BF1AFA" w:rsidRDefault="00BF1AFA" w:rsidP="00BF1AF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Biudžetinės įstaigos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9BA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31,7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109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683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D52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color w:val="000000"/>
                <w:szCs w:val="24"/>
                <w:lang w:eastAsia="lt-LT"/>
              </w:rPr>
              <w:t>16</w:t>
            </w:r>
          </w:p>
        </w:tc>
      </w:tr>
      <w:tr w:rsidR="00BF1AFA" w:rsidRPr="00BF1AFA" w14:paraId="52ADBB3E" w14:textId="77777777" w:rsidTr="00BF1AFA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CB5" w14:textId="77777777" w:rsidR="00BF1AFA" w:rsidRPr="00BF1AFA" w:rsidRDefault="00BF1AFA" w:rsidP="00BF1A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 xml:space="preserve">Iš viso: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508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656,3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678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F61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AC1" w14:textId="77777777" w:rsidR="00BF1AFA" w:rsidRPr="00BF1AFA" w:rsidRDefault="00BF1AFA" w:rsidP="00BF1AF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BF1AFA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319,4</w:t>
            </w:r>
          </w:p>
        </w:tc>
      </w:tr>
    </w:tbl>
    <w:p w14:paraId="170B2A2D" w14:textId="77777777" w:rsidR="00F255F2" w:rsidRDefault="00F255F2" w:rsidP="00F255F2">
      <w:pPr>
        <w:spacing w:line="360" w:lineRule="auto"/>
        <w:jc w:val="both"/>
      </w:pPr>
    </w:p>
    <w:p w14:paraId="64F167A5" w14:textId="3602447F" w:rsidR="00B86FF4" w:rsidRPr="00042152" w:rsidRDefault="00CE7F6F" w:rsidP="00B86FF4">
      <w:pPr>
        <w:spacing w:line="360" w:lineRule="auto"/>
        <w:jc w:val="both"/>
        <w:rPr>
          <w:rFonts w:eastAsia="Calibri"/>
          <w:iCs/>
        </w:rPr>
      </w:pPr>
      <w:r>
        <w:t xml:space="preserve">           </w:t>
      </w:r>
      <w:r w:rsidRPr="003E3B0F">
        <w:t xml:space="preserve">Paskolų suma </w:t>
      </w:r>
      <w:r w:rsidR="00B51BC7">
        <w:t xml:space="preserve">padidėjo </w:t>
      </w:r>
      <w:r w:rsidR="00B86FF4">
        <w:t>384,1</w:t>
      </w:r>
      <w:r w:rsidRPr="003E3B0F">
        <w:t xml:space="preserve"> tūkst. Eur.</w:t>
      </w:r>
      <w:r>
        <w:t>, nes savivaldybė už 20</w:t>
      </w:r>
      <w:r w:rsidR="004B45C9">
        <w:t>2</w:t>
      </w:r>
      <w:r w:rsidR="00B86FF4">
        <w:t>2</w:t>
      </w:r>
      <w:r>
        <w:t xml:space="preserve"> m. grąžino </w:t>
      </w:r>
      <w:r w:rsidR="00B86FF4">
        <w:rPr>
          <w:bCs/>
        </w:rPr>
        <w:t>515,8</w:t>
      </w:r>
      <w:r w:rsidR="006226B1">
        <w:rPr>
          <w:bCs/>
        </w:rPr>
        <w:t xml:space="preserve"> tūkst. Eur</w:t>
      </w:r>
      <w:r w:rsidR="006226B1">
        <w:t xml:space="preserve"> </w:t>
      </w:r>
      <w:r>
        <w:t xml:space="preserve">paskolų, bet pasiskolino </w:t>
      </w:r>
      <w:r w:rsidR="00B86FF4">
        <w:t>900</w:t>
      </w:r>
      <w:r>
        <w:t xml:space="preserve"> tūkst. Eur. Visa</w:t>
      </w:r>
      <w:r w:rsidR="006226B1">
        <w:t xml:space="preserve"> gauta </w:t>
      </w:r>
      <w:r>
        <w:t xml:space="preserve"> paskola panaudota</w:t>
      </w:r>
      <w:r w:rsidRPr="00A52C5B">
        <w:t xml:space="preserve"> ankstesniais metais paimt</w:t>
      </w:r>
      <w:r>
        <w:t>ų paskolų 20</w:t>
      </w:r>
      <w:r w:rsidR="004B45C9">
        <w:t>2</w:t>
      </w:r>
      <w:r w:rsidR="00B86FF4">
        <w:t>2</w:t>
      </w:r>
      <w:r>
        <w:t xml:space="preserve"> m. daliai </w:t>
      </w:r>
      <w:r w:rsidRPr="00A52C5B">
        <w:t xml:space="preserve"> grąžinti</w:t>
      </w:r>
      <w:r w:rsidR="006226B1">
        <w:t xml:space="preserve"> </w:t>
      </w:r>
      <w:r w:rsidR="00B86FF4">
        <w:t>bei</w:t>
      </w:r>
      <w:r w:rsidR="006226B1">
        <w:t xml:space="preserve"> </w:t>
      </w:r>
      <w:r w:rsidR="006226B1">
        <w:rPr>
          <w:rFonts w:eastAsia="Calibri"/>
        </w:rPr>
        <w:t>savivaldybės</w:t>
      </w:r>
      <w:r w:rsidR="00B86FF4">
        <w:rPr>
          <w:rFonts w:eastAsia="Calibri"/>
        </w:rPr>
        <w:t xml:space="preserve"> </w:t>
      </w:r>
      <w:r w:rsidR="00B86FF4" w:rsidRPr="00042152">
        <w:rPr>
          <w:rFonts w:eastAsia="Calibri"/>
        </w:rPr>
        <w:t xml:space="preserve">ir valstybės investicijų programoje  įgyvendinamo projekto </w:t>
      </w:r>
      <w:r w:rsidR="00B86FF4" w:rsidRPr="00042152">
        <w:rPr>
          <w:rFonts w:eastAsia="Calibri"/>
          <w:iCs/>
        </w:rPr>
        <w:t>,,Sporto paskirties pastato Molėtuose, Ąžuolų g. 10, rekonstravimas" finansavimui.</w:t>
      </w:r>
    </w:p>
    <w:p w14:paraId="71135684" w14:textId="106AFA4E" w:rsidR="00CE7F6F" w:rsidRDefault="00CE7F6F" w:rsidP="00CE7F6F">
      <w:pPr>
        <w:spacing w:line="360" w:lineRule="auto"/>
        <w:ind w:firstLine="1296"/>
        <w:jc w:val="both"/>
      </w:pPr>
      <w:r>
        <w:t xml:space="preserve">Įsipareigojimai pagal </w:t>
      </w:r>
      <w:r w:rsidR="00FE2EEE">
        <w:t xml:space="preserve">ilgalaikes </w:t>
      </w:r>
      <w:r>
        <w:t>paskolas pateikiami lentelėje: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6"/>
        <w:gridCol w:w="1589"/>
        <w:gridCol w:w="1388"/>
        <w:gridCol w:w="1417"/>
        <w:gridCol w:w="1701"/>
      </w:tblGrid>
      <w:tr w:rsidR="00492EF7" w:rsidRPr="00492EF7" w14:paraId="2718C1F0" w14:textId="77777777" w:rsidTr="00492EF7">
        <w:trPr>
          <w:trHeight w:val="575"/>
        </w:trPr>
        <w:tc>
          <w:tcPr>
            <w:tcW w:w="570" w:type="dxa"/>
            <w:vMerge w:val="restart"/>
            <w:shd w:val="clear" w:color="000000" w:fill="FFFFFF"/>
            <w:noWrap/>
            <w:vAlign w:val="bottom"/>
            <w:hideMark/>
          </w:tcPr>
          <w:p w14:paraId="79D46651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  <w:p w14:paraId="4F9EE711" w14:textId="64663765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Eil. </w:t>
            </w: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br/>
              <w:t xml:space="preserve">Nr. </w:t>
            </w:r>
          </w:p>
        </w:tc>
        <w:tc>
          <w:tcPr>
            <w:tcW w:w="3116" w:type="dxa"/>
            <w:vMerge w:val="restart"/>
            <w:shd w:val="clear" w:color="000000" w:fill="FFFFFF"/>
            <w:noWrap/>
            <w:vAlign w:val="bottom"/>
            <w:hideMark/>
          </w:tcPr>
          <w:p w14:paraId="31367D92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  <w:p w14:paraId="1E135477" w14:textId="127C205C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Gauta paskola iš:</w:t>
            </w:r>
          </w:p>
        </w:tc>
        <w:tc>
          <w:tcPr>
            <w:tcW w:w="1589" w:type="dxa"/>
            <w:shd w:val="clear" w:color="000000" w:fill="FFFFFF"/>
            <w:vAlign w:val="bottom"/>
            <w:hideMark/>
          </w:tcPr>
          <w:p w14:paraId="669C122D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PASKOLŲ </w:t>
            </w: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br/>
              <w:t>LIKUTIS</w:t>
            </w:r>
          </w:p>
        </w:tc>
        <w:tc>
          <w:tcPr>
            <w:tcW w:w="2805" w:type="dxa"/>
            <w:gridSpan w:val="2"/>
            <w:shd w:val="clear" w:color="000000" w:fill="FFFFFF"/>
            <w:vAlign w:val="bottom"/>
            <w:hideMark/>
          </w:tcPr>
          <w:p w14:paraId="0C7223FD" w14:textId="77777777" w:rsidR="00492EF7" w:rsidRPr="00492EF7" w:rsidRDefault="00492EF7" w:rsidP="00492EF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 xml:space="preserve">2022 metų </w:t>
            </w:r>
            <w:r w:rsidRPr="00492EF7">
              <w:rPr>
                <w:rFonts w:eastAsia="Times New Roman" w:cs="Times New Roman"/>
                <w:szCs w:val="24"/>
                <w:lang w:eastAsia="lt-LT"/>
              </w:rPr>
              <w:br/>
              <w:t>dalis grąžinimui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1DB5A02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PASKOLŲ </w:t>
            </w: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br/>
              <w:t>LIKUTIS</w:t>
            </w:r>
          </w:p>
        </w:tc>
      </w:tr>
      <w:tr w:rsidR="00492EF7" w:rsidRPr="00492EF7" w14:paraId="357188E5" w14:textId="77777777" w:rsidTr="00492EF7">
        <w:trPr>
          <w:trHeight w:val="414"/>
        </w:trPr>
        <w:tc>
          <w:tcPr>
            <w:tcW w:w="570" w:type="dxa"/>
            <w:vMerge/>
            <w:shd w:val="clear" w:color="000000" w:fill="FFFFFF"/>
            <w:vAlign w:val="center"/>
            <w:hideMark/>
          </w:tcPr>
          <w:p w14:paraId="7BD4EB67" w14:textId="5ED3AE59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3116" w:type="dxa"/>
            <w:vMerge/>
            <w:shd w:val="clear" w:color="000000" w:fill="FFFFFF"/>
            <w:noWrap/>
            <w:vAlign w:val="center"/>
            <w:hideMark/>
          </w:tcPr>
          <w:p w14:paraId="3257B8BE" w14:textId="34B57AD8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6A572145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2021-12-31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2BA44283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I PUSM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7986B63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II PUSM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D5C9FF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2022-12-31</w:t>
            </w:r>
          </w:p>
        </w:tc>
      </w:tr>
      <w:tr w:rsidR="00492EF7" w:rsidRPr="00492EF7" w14:paraId="5075F3AE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5F9D7B9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1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379AB40F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color w:val="000000"/>
                <w:szCs w:val="24"/>
                <w:lang w:eastAsia="lt-LT"/>
              </w:rPr>
              <w:t>AB SEB bankas (2014-09-17)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44FA6E6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222 495,42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56694B4A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37 111,58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07A3DBC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37 111,58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C9F25B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148 272,26</w:t>
            </w:r>
          </w:p>
        </w:tc>
      </w:tr>
      <w:tr w:rsidR="00492EF7" w:rsidRPr="00492EF7" w14:paraId="505ED6E9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5812482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506605BC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AB SEB bankas (2019-06-21)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74F6DEC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441 176,46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DCD5E3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29 411,77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AA37F35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29 411,77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D53BBF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382 352,92</w:t>
            </w:r>
          </w:p>
        </w:tc>
      </w:tr>
      <w:tr w:rsidR="00492EF7" w:rsidRPr="00492EF7" w14:paraId="544B3AC5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61677CDD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3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5A2E0A6B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AB SEB bankas (2020-06-26)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3352866F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550 000,00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7FFC28D0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32 352,94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7B6A14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32 352,94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45537D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485 294,12</w:t>
            </w:r>
          </w:p>
        </w:tc>
      </w:tr>
      <w:tr w:rsidR="00492EF7" w:rsidRPr="00492EF7" w14:paraId="046A31F5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651A7C58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4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44212192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AB SEB bankas (2021-06-26)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4611C39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834 000,00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288703D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746907A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9217AA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834 000,00</w:t>
            </w:r>
          </w:p>
        </w:tc>
      </w:tr>
      <w:tr w:rsidR="00492EF7" w:rsidRPr="00492EF7" w14:paraId="734C4E9A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790B31B5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3D7EE550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Skola SEB bankui iš viso: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483011F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2 047 671,88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772D294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98 876,29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A94B999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98 876,29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6A0D65B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1 849 919,30</w:t>
            </w:r>
          </w:p>
        </w:tc>
      </w:tr>
      <w:tr w:rsidR="00492EF7" w:rsidRPr="00492EF7" w14:paraId="03DEE5F6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5170593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5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5E1B62C7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AB DNB bankas (2015-08-10)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BA9574A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357 586,05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A869A69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44 698,33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E708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44 698,33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FE8B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268 189,39</w:t>
            </w:r>
          </w:p>
        </w:tc>
      </w:tr>
      <w:tr w:rsidR="00492EF7" w:rsidRPr="00492EF7" w14:paraId="1C9B59EC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1928B40F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499064F0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Skola DNB bankui iš viso: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437D1B96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357 586,05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1981F8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44 698,33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3FDAC26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44 698,33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5C1F33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268 189,39</w:t>
            </w:r>
          </w:p>
        </w:tc>
      </w:tr>
      <w:tr w:rsidR="00492EF7" w:rsidRPr="00492EF7" w14:paraId="0BD0BC64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0ED5724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6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2D8DC278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Danske bankas (2015-11-12)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326A43AC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160 844,40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1B2DB4D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20 105,56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593ED3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20 105,56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6FF50F0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120 633,28</w:t>
            </w:r>
          </w:p>
        </w:tc>
      </w:tr>
      <w:tr w:rsidR="00492EF7" w:rsidRPr="00492EF7" w14:paraId="09155C75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61D7FA7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7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35B021D6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Danske bankas (2016-06-23)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410EE596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157 159,94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738A72F9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47 472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1699F3D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47472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C0EA679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62 215,94</w:t>
            </w:r>
          </w:p>
        </w:tc>
      </w:tr>
      <w:tr w:rsidR="00492EF7" w:rsidRPr="00492EF7" w14:paraId="4200B132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1388A895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8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7CB818D1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Danske bankas (2017-08-24)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3D9D0F1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239 411,80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4D581D3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21764,7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8650A70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21764,7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74E4D8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195 882,40</w:t>
            </w:r>
          </w:p>
        </w:tc>
      </w:tr>
      <w:tr w:rsidR="00492EF7" w:rsidRPr="00492EF7" w14:paraId="07907D12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2F9AA8C0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5B48A291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  <w:t>Skola DANSKE bankui iš viso: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0C91863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557 416,14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45D5E6C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89 342,26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A027BF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89 342,26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C5A844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378 731,62</w:t>
            </w:r>
          </w:p>
        </w:tc>
      </w:tr>
      <w:tr w:rsidR="00492EF7" w:rsidRPr="00492EF7" w14:paraId="1612B8C3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4D1ACBA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9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180343F3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AB Šiaulių bankas (2018-11-13)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0526DEF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350 000,00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5504D8F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BC115B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25000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2C8EA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300 000,00</w:t>
            </w:r>
          </w:p>
        </w:tc>
      </w:tr>
      <w:tr w:rsidR="00492EF7" w:rsidRPr="00492EF7" w14:paraId="46E48F62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6746DF23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24EB3ACD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  <w:t>Skola Šiaulių bankui iš viso: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6F3B925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350 000,00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5B6981C5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9A45A1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120803E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300 000,00</w:t>
            </w:r>
          </w:p>
        </w:tc>
      </w:tr>
      <w:tr w:rsidR="00492EF7" w:rsidRPr="00492EF7" w14:paraId="33C53991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495D79AB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10</w:t>
            </w:r>
          </w:p>
        </w:tc>
        <w:tc>
          <w:tcPr>
            <w:tcW w:w="3116" w:type="dxa"/>
            <w:shd w:val="clear" w:color="000000" w:fill="FFFFFF"/>
            <w:vAlign w:val="bottom"/>
            <w:hideMark/>
          </w:tcPr>
          <w:p w14:paraId="22117183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  <w:t>Swedbank AB (2022-06-30)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123C60A5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1545A4E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C193D4D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F517A14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900 000,00</w:t>
            </w:r>
          </w:p>
        </w:tc>
      </w:tr>
      <w:tr w:rsidR="00492EF7" w:rsidRPr="00492EF7" w14:paraId="68BB69C7" w14:textId="77777777" w:rsidTr="00492EF7">
        <w:trPr>
          <w:trHeight w:val="300"/>
        </w:trPr>
        <w:tc>
          <w:tcPr>
            <w:tcW w:w="570" w:type="dxa"/>
            <w:shd w:val="clear" w:color="000000" w:fill="FFFFFF"/>
            <w:noWrap/>
            <w:vAlign w:val="bottom"/>
            <w:hideMark/>
          </w:tcPr>
          <w:p w14:paraId="303E4386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5FB128F8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t-LT"/>
              </w:rPr>
              <w:t>Skola Swedbank iš viso:</w:t>
            </w:r>
          </w:p>
        </w:tc>
        <w:tc>
          <w:tcPr>
            <w:tcW w:w="1589" w:type="dxa"/>
            <w:shd w:val="clear" w:color="000000" w:fill="FFFFFF"/>
            <w:noWrap/>
            <w:vAlign w:val="bottom"/>
            <w:hideMark/>
          </w:tcPr>
          <w:p w14:paraId="2A7DA243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14:paraId="30C6BAF5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2FF21F1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0C60BB2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900 000,00</w:t>
            </w:r>
          </w:p>
        </w:tc>
      </w:tr>
      <w:tr w:rsidR="00492EF7" w:rsidRPr="00492EF7" w14:paraId="42FDD9CF" w14:textId="77777777" w:rsidTr="00492EF7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78D5E762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3116" w:type="dxa"/>
            <w:shd w:val="clear" w:color="000000" w:fill="FFFFFF"/>
            <w:noWrap/>
            <w:vAlign w:val="bottom"/>
            <w:hideMark/>
          </w:tcPr>
          <w:p w14:paraId="411A909D" w14:textId="77777777" w:rsidR="00492EF7" w:rsidRPr="00492EF7" w:rsidRDefault="00492EF7" w:rsidP="00492E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  <w:t>VISO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32AB42C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3 312 674,07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84ECD5C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257 916,88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8FFF0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257 916,88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EF78E7" w14:textId="77777777" w:rsidR="00492EF7" w:rsidRPr="00492EF7" w:rsidRDefault="00492EF7" w:rsidP="00492E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92EF7">
              <w:rPr>
                <w:rFonts w:eastAsia="Times New Roman" w:cs="Times New Roman"/>
                <w:b/>
                <w:bCs/>
                <w:szCs w:val="24"/>
                <w:lang w:eastAsia="lt-LT"/>
              </w:rPr>
              <w:t>3 696 840,31</w:t>
            </w:r>
          </w:p>
        </w:tc>
      </w:tr>
    </w:tbl>
    <w:p w14:paraId="50BB61A0" w14:textId="77777777" w:rsidR="00492EF7" w:rsidRDefault="00492EF7" w:rsidP="003D3491">
      <w:pPr>
        <w:tabs>
          <w:tab w:val="left" w:pos="680"/>
          <w:tab w:val="left" w:pos="1206"/>
        </w:tabs>
        <w:spacing w:line="360" w:lineRule="auto"/>
        <w:jc w:val="both"/>
      </w:pPr>
    </w:p>
    <w:p w14:paraId="4A139A25" w14:textId="3549E4A7" w:rsidR="00CE7F6F" w:rsidRDefault="007D0E49" w:rsidP="003D3491">
      <w:pPr>
        <w:tabs>
          <w:tab w:val="left" w:pos="680"/>
          <w:tab w:val="left" w:pos="1206"/>
        </w:tabs>
        <w:spacing w:line="360" w:lineRule="auto"/>
        <w:jc w:val="both"/>
      </w:pPr>
      <w:r>
        <w:tab/>
      </w:r>
      <w:r w:rsidR="00CE7F6F" w:rsidRPr="004A191C">
        <w:t>Molėtų rajono</w:t>
      </w:r>
      <w:r w:rsidR="00CE7F6F">
        <w:t xml:space="preserve"> savivaldybės suteiktų garantijų</w:t>
      </w:r>
      <w:r w:rsidR="00F00A11">
        <w:t xml:space="preserve">, įmonių paskolų ėmimo ir grąžinimo </w:t>
      </w:r>
      <w:r w:rsidR="00CE7F6F" w:rsidRPr="004A191C">
        <w:t xml:space="preserve"> </w:t>
      </w:r>
      <w:r w:rsidR="00CE7F6F">
        <w:t>suvestinė pateikiama lentelėje: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95"/>
        <w:gridCol w:w="2094"/>
        <w:gridCol w:w="1603"/>
        <w:gridCol w:w="1799"/>
        <w:gridCol w:w="1275"/>
        <w:gridCol w:w="1418"/>
        <w:gridCol w:w="1149"/>
      </w:tblGrid>
      <w:tr w:rsidR="00F00A11" w:rsidRPr="00F00A11" w14:paraId="39D9BA98" w14:textId="77777777" w:rsidTr="00F00A11">
        <w:trPr>
          <w:trHeight w:val="45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3A0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Eil. Nr.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7C7" w14:textId="3DCAECA1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Įmonės pavadinimas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170" w14:textId="61411F42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Suteiktų įsipareigojimų pagal garantijas suma pagal tarybos sprendimus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EDA" w14:textId="5798A3BF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Įsipareigojimų pagal garantijas suma i</w:t>
            </w:r>
            <w:r w:rsidR="00790DD9">
              <w:rPr>
                <w:rFonts w:eastAsia="Times New Roman" w:cs="Times New Roman"/>
                <w:color w:val="000000"/>
                <w:szCs w:val="24"/>
                <w:lang w:eastAsia="lt-LT"/>
              </w:rPr>
              <w:t>š</w:t>
            </w: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viso nuo metų pradžios su 2022 m. paskolos dalies ėmimu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0E2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Iš viso grąžintų paskolų dalis 2022-12-31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FDB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 xml:space="preserve">Paskolos likutis metų pabaigai po paskolos ėmimo ir gražinimo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F69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 xml:space="preserve">Nepaimta paskolos dalis metų pabaigai </w:t>
            </w:r>
          </w:p>
        </w:tc>
      </w:tr>
      <w:tr w:rsidR="00F00A11" w:rsidRPr="00F00A11" w14:paraId="30542B72" w14:textId="77777777" w:rsidTr="00F00A11">
        <w:trPr>
          <w:trHeight w:val="18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1ED3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7B0A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082D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A5C25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E151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AD27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8B03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F00A11" w:rsidRPr="00F00A11" w14:paraId="35B7F0A4" w14:textId="77777777" w:rsidTr="00F00A11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82A4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9955" w14:textId="4DDDFF1F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"Utenos regiono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</w:t>
            </w: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atliekų tvarkymo centras"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DDB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B71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292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0AF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4A7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</w:tr>
      <w:tr w:rsidR="00F00A11" w:rsidRPr="00F00A11" w14:paraId="417B6C7A" w14:textId="77777777" w:rsidTr="00F00A11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94B9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28C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"Molėtų švara"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9B9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709,2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EE9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578,9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D09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453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484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35,7</w:t>
            </w:r>
          </w:p>
        </w:tc>
      </w:tr>
      <w:tr w:rsidR="00F00A11" w:rsidRPr="00F00A11" w14:paraId="747CB8FC" w14:textId="77777777" w:rsidTr="00F00A11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CB2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37A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Molėtų vanduo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EDB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164,2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1BC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2C2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0D0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837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21,7</w:t>
            </w:r>
          </w:p>
        </w:tc>
      </w:tr>
      <w:tr w:rsidR="00F00A11" w:rsidRPr="00F00A11" w14:paraId="2F8F94FD" w14:textId="77777777" w:rsidTr="00F00A11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AEC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7D8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Molėtų vanduo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9E7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63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B3FF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F48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95FD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AAC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szCs w:val="24"/>
                <w:lang w:eastAsia="lt-LT"/>
              </w:rPr>
              <w:t>27,4</w:t>
            </w:r>
          </w:p>
        </w:tc>
      </w:tr>
      <w:tr w:rsidR="00F00A11" w:rsidRPr="00F00A11" w14:paraId="0F4D3EF7" w14:textId="77777777" w:rsidTr="00F00A11">
        <w:trPr>
          <w:trHeight w:val="31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35F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599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szCs w:val="24"/>
                <w:lang w:eastAsia="lt-LT"/>
              </w:rPr>
              <w:t>1119,4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05D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szCs w:val="24"/>
                <w:lang w:eastAsia="lt-LT"/>
              </w:rPr>
              <w:t>876,3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B32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szCs w:val="24"/>
                <w:lang w:eastAsia="lt-LT"/>
              </w:rPr>
              <w:t>194,2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E15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szCs w:val="24"/>
                <w:lang w:eastAsia="lt-LT"/>
              </w:rPr>
              <w:t>840,4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B47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szCs w:val="24"/>
                <w:lang w:eastAsia="lt-LT"/>
              </w:rPr>
              <w:t>84,8</w:t>
            </w:r>
          </w:p>
        </w:tc>
      </w:tr>
    </w:tbl>
    <w:p w14:paraId="5970C28D" w14:textId="77777777" w:rsidR="00D942AA" w:rsidRDefault="00D942AA" w:rsidP="003D3491">
      <w:pPr>
        <w:tabs>
          <w:tab w:val="left" w:pos="680"/>
          <w:tab w:val="left" w:pos="1206"/>
        </w:tabs>
        <w:spacing w:line="360" w:lineRule="auto"/>
        <w:jc w:val="both"/>
      </w:pPr>
    </w:p>
    <w:p w14:paraId="1C89BA23" w14:textId="7ED36E67" w:rsidR="00D942AA" w:rsidRDefault="00D942AA" w:rsidP="003D3491">
      <w:pPr>
        <w:tabs>
          <w:tab w:val="left" w:pos="680"/>
          <w:tab w:val="left" w:pos="1206"/>
        </w:tabs>
        <w:spacing w:line="360" w:lineRule="auto"/>
        <w:jc w:val="both"/>
      </w:pPr>
      <w:r>
        <w:tab/>
        <w:t xml:space="preserve">2022 m. Molėtų rajono savivaldybė nesuteikė papildomų garantijų savivaldybės valdomoms įmonėms ir neviršijo 10 procentų </w:t>
      </w:r>
      <w:r w:rsidR="00790DD9">
        <w:t>Lietuvos</w:t>
      </w:r>
      <w:r>
        <w:t xml:space="preserve"> Respublikos 2022 metų valstybės biudžeto ir savivaldybių biudžetų finansinių rodiklių patvirtinimo įstatymo 5 priede nurodytų prognozuojamų savivaldybės biudžeto pajamų iš gyventojų pajamų mokesčio. Informacija pateikiama lentelėje: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1782"/>
        <w:gridCol w:w="1438"/>
        <w:gridCol w:w="1366"/>
      </w:tblGrid>
      <w:tr w:rsidR="00F00A11" w:rsidRPr="00F00A11" w14:paraId="1D586CDD" w14:textId="77777777" w:rsidTr="00F00A11">
        <w:trPr>
          <w:trHeight w:val="1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845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Eil. </w:t>
            </w: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br/>
              <w:t xml:space="preserve">Nr.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80E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Įmonės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247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 w:val="22"/>
                <w:lang w:eastAsia="lt-LT"/>
              </w:rPr>
              <w:t>Suteiktų įsipareigojimų pagal garantijas suma pagal tarybos sprendimus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250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 w:val="22"/>
                <w:lang w:eastAsia="lt-LT"/>
              </w:rPr>
              <w:t>Įsipareigojimų pagal garantijas suma</w:t>
            </w:r>
            <w:r w:rsidRPr="00F00A11">
              <w:rPr>
                <w:rFonts w:eastAsia="Times New Roman" w:cs="Times New Roman"/>
                <w:color w:val="000000"/>
                <w:sz w:val="22"/>
                <w:lang w:eastAsia="lt-LT"/>
              </w:rPr>
              <w:br/>
              <w:t xml:space="preserve"> 2022 m. gruodžio 31  d.  (likusi įsipareigojimų arba panaudota suma)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3ED" w14:textId="38AD9745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 w:val="22"/>
                <w:lang w:eastAsia="lt-LT"/>
              </w:rPr>
              <w:t>2022 m. prognozuojamos savivaldybės pajamos</w:t>
            </w:r>
            <w:r w:rsidR="00D942AA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iš GPM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784" w14:textId="5EB712F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 w:val="22"/>
                <w:lang w:eastAsia="lt-LT"/>
              </w:rPr>
              <w:t>Įsipareigojimų pagal garantijas procentas nuo 2022 m. prognozuojamų pajamų</w:t>
            </w:r>
            <w:r w:rsidR="00D942AA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iš GPM</w:t>
            </w:r>
          </w:p>
        </w:tc>
      </w:tr>
      <w:tr w:rsidR="00F00A11" w:rsidRPr="00F00A11" w14:paraId="63AAFA4D" w14:textId="77777777" w:rsidTr="00F00A1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224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056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"Utenos regiono atliekų tvarkymo centras"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43E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F90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109,5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444" w14:textId="6AC3E6B7" w:rsidR="00F00A11" w:rsidRPr="00F00A11" w:rsidRDefault="00D942AA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13485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D17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8</w:t>
            </w:r>
          </w:p>
        </w:tc>
      </w:tr>
      <w:tr w:rsidR="00F00A11" w:rsidRPr="00F00A11" w14:paraId="4DF738FC" w14:textId="77777777" w:rsidTr="00F00A1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67D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2B76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"Molėtų švara"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D60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709,2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057F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557,5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A6C3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6793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F00A11" w:rsidRPr="00F00A11" w14:paraId="1E90CB0A" w14:textId="77777777" w:rsidTr="00F00A1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96F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1A8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Molėtų vanduo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4B2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164,2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497C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137,8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E79A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2B259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F00A11" w:rsidRPr="00F00A11" w14:paraId="76C7348C" w14:textId="77777777" w:rsidTr="00F00A1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5C8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781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UAB Molėtų vanduo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580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016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35,6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74A3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7758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F00A11" w:rsidRPr="00F00A11" w14:paraId="12C8C643" w14:textId="77777777" w:rsidTr="00F00A11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6EF" w14:textId="77777777" w:rsidR="00F00A11" w:rsidRPr="00F00A11" w:rsidRDefault="00F00A11" w:rsidP="00F0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434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1119,4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F83" w14:textId="77777777" w:rsidR="00F00A11" w:rsidRPr="00F00A11" w:rsidRDefault="00F00A11" w:rsidP="00F00A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F00A11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840,4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9F82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4639" w14:textId="77777777" w:rsidR="00F00A11" w:rsidRPr="00F00A11" w:rsidRDefault="00F00A11" w:rsidP="00F00A1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</w:tbl>
    <w:p w14:paraId="18AB6331" w14:textId="77777777" w:rsidR="00F00A11" w:rsidRDefault="00F00A11" w:rsidP="003D3491">
      <w:pPr>
        <w:tabs>
          <w:tab w:val="left" w:pos="680"/>
          <w:tab w:val="left" w:pos="1206"/>
        </w:tabs>
        <w:spacing w:line="360" w:lineRule="auto"/>
        <w:jc w:val="both"/>
      </w:pPr>
    </w:p>
    <w:p w14:paraId="353979FC" w14:textId="76135248" w:rsidR="00D10290" w:rsidRDefault="00D10290" w:rsidP="00D10290">
      <w:pPr>
        <w:spacing w:line="360" w:lineRule="auto"/>
        <w:jc w:val="both"/>
      </w:pPr>
    </w:p>
    <w:p w14:paraId="5E487F61" w14:textId="77777777" w:rsidR="00BF4FD2" w:rsidRDefault="00BF4FD2" w:rsidP="00D10290">
      <w:pPr>
        <w:spacing w:line="360" w:lineRule="auto"/>
        <w:jc w:val="both"/>
        <w:rPr>
          <w:szCs w:val="24"/>
        </w:rPr>
      </w:pPr>
    </w:p>
    <w:p w14:paraId="1E0B8910" w14:textId="55E4858B" w:rsidR="007D06E5" w:rsidRDefault="007D06E5" w:rsidP="00D10290">
      <w:pPr>
        <w:spacing w:line="360" w:lineRule="auto"/>
        <w:jc w:val="both"/>
        <w:rPr>
          <w:szCs w:val="24"/>
        </w:rPr>
      </w:pPr>
      <w:r>
        <w:rPr>
          <w:szCs w:val="24"/>
        </w:rPr>
        <w:t>Administracijos direktorius</w:t>
      </w:r>
      <w:r w:rsidR="002B7B02">
        <w:rPr>
          <w:szCs w:val="24"/>
        </w:rPr>
        <w:tab/>
      </w:r>
      <w:r w:rsidR="002B7B02">
        <w:rPr>
          <w:szCs w:val="24"/>
        </w:rPr>
        <w:tab/>
      </w:r>
      <w:r w:rsidR="002B7B02">
        <w:rPr>
          <w:szCs w:val="24"/>
        </w:rPr>
        <w:tab/>
      </w:r>
      <w:r w:rsidR="00BF4FD2">
        <w:rPr>
          <w:szCs w:val="24"/>
        </w:rPr>
        <w:t xml:space="preserve">          </w:t>
      </w:r>
      <w:r>
        <w:rPr>
          <w:szCs w:val="24"/>
        </w:rPr>
        <w:t>Sigitas Žvinys</w:t>
      </w:r>
    </w:p>
    <w:p w14:paraId="02ADE9D5" w14:textId="64F02FEC" w:rsidR="007D06E5" w:rsidRDefault="007D06E5" w:rsidP="00D10290">
      <w:pPr>
        <w:spacing w:line="360" w:lineRule="auto"/>
        <w:jc w:val="both"/>
        <w:rPr>
          <w:szCs w:val="24"/>
        </w:rPr>
      </w:pPr>
    </w:p>
    <w:p w14:paraId="347B2218" w14:textId="02587E7F" w:rsidR="007D06E5" w:rsidRDefault="007D06E5" w:rsidP="00D10290">
      <w:pPr>
        <w:spacing w:line="360" w:lineRule="auto"/>
        <w:jc w:val="both"/>
        <w:rPr>
          <w:szCs w:val="24"/>
        </w:rPr>
      </w:pPr>
    </w:p>
    <w:p w14:paraId="17F97224" w14:textId="579CA06A" w:rsidR="002B2A0D" w:rsidRDefault="002B2A0D" w:rsidP="00D10290">
      <w:pPr>
        <w:spacing w:line="360" w:lineRule="auto"/>
        <w:jc w:val="both"/>
        <w:rPr>
          <w:szCs w:val="24"/>
        </w:rPr>
      </w:pPr>
    </w:p>
    <w:p w14:paraId="2EC2E6BA" w14:textId="47141642" w:rsidR="002B2A0D" w:rsidRDefault="002B2A0D" w:rsidP="00D10290">
      <w:pPr>
        <w:spacing w:line="360" w:lineRule="auto"/>
        <w:jc w:val="both"/>
        <w:rPr>
          <w:szCs w:val="24"/>
        </w:rPr>
      </w:pPr>
    </w:p>
    <w:p w14:paraId="68A6B0E0" w14:textId="77777777" w:rsidR="00221810" w:rsidRDefault="00221810" w:rsidP="00D10290">
      <w:pPr>
        <w:spacing w:line="360" w:lineRule="auto"/>
        <w:jc w:val="both"/>
        <w:rPr>
          <w:szCs w:val="24"/>
        </w:rPr>
      </w:pPr>
    </w:p>
    <w:p w14:paraId="594898B8" w14:textId="1BEBB6D7" w:rsidR="007D06E5" w:rsidRPr="007D06E5" w:rsidRDefault="007D06E5" w:rsidP="00D10290">
      <w:pPr>
        <w:spacing w:line="360" w:lineRule="auto"/>
        <w:jc w:val="both"/>
        <w:rPr>
          <w:szCs w:val="24"/>
          <w:lang w:val="en-US"/>
        </w:rPr>
      </w:pPr>
      <w:r>
        <w:rPr>
          <w:szCs w:val="24"/>
        </w:rPr>
        <w:t>Rūta Maigienė, tel. 8 383 54735, el.p. ruta.maigiene</w:t>
      </w:r>
      <w:r>
        <w:rPr>
          <w:szCs w:val="24"/>
          <w:lang w:val="en-US"/>
        </w:rPr>
        <w:t>@moletai.lt</w:t>
      </w:r>
    </w:p>
    <w:sectPr w:rsidR="007D06E5" w:rsidRPr="007D06E5" w:rsidSect="00C11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36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55F0" w14:textId="77777777" w:rsidR="001A66BE" w:rsidRDefault="001A66BE" w:rsidP="00C119A5">
      <w:pPr>
        <w:spacing w:after="0" w:line="240" w:lineRule="auto"/>
      </w:pPr>
      <w:r>
        <w:separator/>
      </w:r>
    </w:p>
  </w:endnote>
  <w:endnote w:type="continuationSeparator" w:id="0">
    <w:p w14:paraId="3521C439" w14:textId="77777777" w:rsidR="001A66BE" w:rsidRDefault="001A66BE" w:rsidP="00C1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09C6" w14:textId="77777777" w:rsidR="001A66BE" w:rsidRDefault="001A66B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080A" w14:textId="77777777" w:rsidR="001A66BE" w:rsidRDefault="001A66B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1BF2" w14:textId="77777777" w:rsidR="001A66BE" w:rsidRDefault="001A66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5D9D" w14:textId="77777777" w:rsidR="001A66BE" w:rsidRDefault="001A66BE" w:rsidP="00C119A5">
      <w:pPr>
        <w:spacing w:after="0" w:line="240" w:lineRule="auto"/>
      </w:pPr>
      <w:r>
        <w:separator/>
      </w:r>
    </w:p>
  </w:footnote>
  <w:footnote w:type="continuationSeparator" w:id="0">
    <w:p w14:paraId="28FFEDED" w14:textId="77777777" w:rsidR="001A66BE" w:rsidRDefault="001A66BE" w:rsidP="00C1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8F64" w14:textId="77777777" w:rsidR="001A66BE" w:rsidRDefault="001A66B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536230"/>
      <w:docPartObj>
        <w:docPartGallery w:val="Page Numbers (Top of Page)"/>
        <w:docPartUnique/>
      </w:docPartObj>
    </w:sdtPr>
    <w:sdtEndPr/>
    <w:sdtContent>
      <w:p w14:paraId="64F2051E" w14:textId="77777777" w:rsidR="001A66BE" w:rsidRDefault="001A66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3</w:t>
        </w:r>
        <w:r>
          <w:fldChar w:fldCharType="end"/>
        </w:r>
      </w:p>
    </w:sdtContent>
  </w:sdt>
  <w:p w14:paraId="33BB35BA" w14:textId="77777777" w:rsidR="001A66BE" w:rsidRDefault="001A66B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C46B" w14:textId="77777777" w:rsidR="001A66BE" w:rsidRDefault="001A66B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45"/>
    <w:rsid w:val="00022C7C"/>
    <w:rsid w:val="00042152"/>
    <w:rsid w:val="00042FB1"/>
    <w:rsid w:val="00047964"/>
    <w:rsid w:val="000567D2"/>
    <w:rsid w:val="000728E9"/>
    <w:rsid w:val="000741B0"/>
    <w:rsid w:val="00083227"/>
    <w:rsid w:val="000C13A1"/>
    <w:rsid w:val="000C738E"/>
    <w:rsid w:val="000E2A27"/>
    <w:rsid w:val="000E2DFB"/>
    <w:rsid w:val="000F225A"/>
    <w:rsid w:val="000F4E07"/>
    <w:rsid w:val="00100B95"/>
    <w:rsid w:val="00131F5F"/>
    <w:rsid w:val="00142F17"/>
    <w:rsid w:val="001812BE"/>
    <w:rsid w:val="001A44B6"/>
    <w:rsid w:val="001A66BE"/>
    <w:rsid w:val="001D0DCC"/>
    <w:rsid w:val="001E45B3"/>
    <w:rsid w:val="001F5824"/>
    <w:rsid w:val="0020693A"/>
    <w:rsid w:val="00221810"/>
    <w:rsid w:val="00221D5C"/>
    <w:rsid w:val="00226A26"/>
    <w:rsid w:val="00266723"/>
    <w:rsid w:val="00271AE9"/>
    <w:rsid w:val="00274D74"/>
    <w:rsid w:val="00283A5E"/>
    <w:rsid w:val="00292EEC"/>
    <w:rsid w:val="00296002"/>
    <w:rsid w:val="002A40F5"/>
    <w:rsid w:val="002B2A0D"/>
    <w:rsid w:val="002B7B02"/>
    <w:rsid w:val="002C3B89"/>
    <w:rsid w:val="002D209C"/>
    <w:rsid w:val="002E7B02"/>
    <w:rsid w:val="002F1EFF"/>
    <w:rsid w:val="00316C34"/>
    <w:rsid w:val="00333DC4"/>
    <w:rsid w:val="00377770"/>
    <w:rsid w:val="00383F91"/>
    <w:rsid w:val="003875F5"/>
    <w:rsid w:val="003A331C"/>
    <w:rsid w:val="003B3564"/>
    <w:rsid w:val="003C4743"/>
    <w:rsid w:val="003D3491"/>
    <w:rsid w:val="003D5272"/>
    <w:rsid w:val="00411568"/>
    <w:rsid w:val="004478C9"/>
    <w:rsid w:val="00492EF7"/>
    <w:rsid w:val="004B45C9"/>
    <w:rsid w:val="004F27B1"/>
    <w:rsid w:val="004F3025"/>
    <w:rsid w:val="00513BBC"/>
    <w:rsid w:val="00514C9F"/>
    <w:rsid w:val="0052662A"/>
    <w:rsid w:val="005862FB"/>
    <w:rsid w:val="005A1796"/>
    <w:rsid w:val="005C6894"/>
    <w:rsid w:val="005E0B89"/>
    <w:rsid w:val="005F28BE"/>
    <w:rsid w:val="005F7779"/>
    <w:rsid w:val="00607EFC"/>
    <w:rsid w:val="006226B1"/>
    <w:rsid w:val="00660154"/>
    <w:rsid w:val="0069069E"/>
    <w:rsid w:val="006966D3"/>
    <w:rsid w:val="006A1A88"/>
    <w:rsid w:val="006A7058"/>
    <w:rsid w:val="006C22D8"/>
    <w:rsid w:val="006C37D2"/>
    <w:rsid w:val="006D675E"/>
    <w:rsid w:val="00707D29"/>
    <w:rsid w:val="00743B76"/>
    <w:rsid w:val="00754CC7"/>
    <w:rsid w:val="00766040"/>
    <w:rsid w:val="00776994"/>
    <w:rsid w:val="00784437"/>
    <w:rsid w:val="00790DD9"/>
    <w:rsid w:val="00791A46"/>
    <w:rsid w:val="007B66E6"/>
    <w:rsid w:val="007D06E5"/>
    <w:rsid w:val="007D0E49"/>
    <w:rsid w:val="007F5CBE"/>
    <w:rsid w:val="00860BEB"/>
    <w:rsid w:val="00882EE7"/>
    <w:rsid w:val="008D2838"/>
    <w:rsid w:val="008D30B0"/>
    <w:rsid w:val="008F1045"/>
    <w:rsid w:val="008F51EE"/>
    <w:rsid w:val="009043EC"/>
    <w:rsid w:val="0092575D"/>
    <w:rsid w:val="0093300D"/>
    <w:rsid w:val="00946A38"/>
    <w:rsid w:val="00956C3D"/>
    <w:rsid w:val="00964699"/>
    <w:rsid w:val="00971FA1"/>
    <w:rsid w:val="009805AA"/>
    <w:rsid w:val="009F78C1"/>
    <w:rsid w:val="00A37F34"/>
    <w:rsid w:val="00A63248"/>
    <w:rsid w:val="00A95FC7"/>
    <w:rsid w:val="00AB0AEC"/>
    <w:rsid w:val="00AC4E79"/>
    <w:rsid w:val="00B110C8"/>
    <w:rsid w:val="00B12E32"/>
    <w:rsid w:val="00B20FA1"/>
    <w:rsid w:val="00B25CC4"/>
    <w:rsid w:val="00B27BA9"/>
    <w:rsid w:val="00B31590"/>
    <w:rsid w:val="00B3696D"/>
    <w:rsid w:val="00B51BC7"/>
    <w:rsid w:val="00B53E2E"/>
    <w:rsid w:val="00B841D7"/>
    <w:rsid w:val="00B86FF4"/>
    <w:rsid w:val="00BA640E"/>
    <w:rsid w:val="00BB084E"/>
    <w:rsid w:val="00BB4F1C"/>
    <w:rsid w:val="00BC5D8C"/>
    <w:rsid w:val="00BE2240"/>
    <w:rsid w:val="00BF1AFA"/>
    <w:rsid w:val="00BF4FD2"/>
    <w:rsid w:val="00C119A5"/>
    <w:rsid w:val="00C33074"/>
    <w:rsid w:val="00C5004E"/>
    <w:rsid w:val="00C55D06"/>
    <w:rsid w:val="00C762DF"/>
    <w:rsid w:val="00CB64ED"/>
    <w:rsid w:val="00CE03D5"/>
    <w:rsid w:val="00CE6690"/>
    <w:rsid w:val="00CE7F6F"/>
    <w:rsid w:val="00D10290"/>
    <w:rsid w:val="00D15080"/>
    <w:rsid w:val="00D221A4"/>
    <w:rsid w:val="00D76F64"/>
    <w:rsid w:val="00D83A7F"/>
    <w:rsid w:val="00D942AA"/>
    <w:rsid w:val="00DD16C3"/>
    <w:rsid w:val="00DD52CC"/>
    <w:rsid w:val="00DE7D87"/>
    <w:rsid w:val="00E079E0"/>
    <w:rsid w:val="00E150CA"/>
    <w:rsid w:val="00E272F7"/>
    <w:rsid w:val="00E30C03"/>
    <w:rsid w:val="00E319D8"/>
    <w:rsid w:val="00E4390E"/>
    <w:rsid w:val="00E4770B"/>
    <w:rsid w:val="00E80521"/>
    <w:rsid w:val="00E8479D"/>
    <w:rsid w:val="00E87B10"/>
    <w:rsid w:val="00E904F7"/>
    <w:rsid w:val="00EB329E"/>
    <w:rsid w:val="00EC0EE6"/>
    <w:rsid w:val="00EC370C"/>
    <w:rsid w:val="00ED14AC"/>
    <w:rsid w:val="00ED2173"/>
    <w:rsid w:val="00EE05A8"/>
    <w:rsid w:val="00F00A11"/>
    <w:rsid w:val="00F01005"/>
    <w:rsid w:val="00F255F2"/>
    <w:rsid w:val="00F379DB"/>
    <w:rsid w:val="00F4157E"/>
    <w:rsid w:val="00F52991"/>
    <w:rsid w:val="00F63827"/>
    <w:rsid w:val="00F64CC9"/>
    <w:rsid w:val="00F678FB"/>
    <w:rsid w:val="00F7090D"/>
    <w:rsid w:val="00F752E7"/>
    <w:rsid w:val="00FB4BFC"/>
    <w:rsid w:val="00FE2EEE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0367"/>
  <w15:chartTrackingRefBased/>
  <w15:docId w15:val="{787F6B36-7281-4AEE-BA47-12A9871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150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11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19A5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C11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19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FA12-2228-4F30-A89A-2CE2FA0B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11601</Words>
  <Characters>6613</Characters>
  <Application>Microsoft Office Word</Application>
  <DocSecurity>0</DocSecurity>
  <Lines>55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Maigienė Rūta</dc:creator>
  <cp:keywords/>
  <dc:description/>
  <cp:lastModifiedBy>Rūta Maigienė</cp:lastModifiedBy>
  <cp:revision>14</cp:revision>
  <dcterms:created xsi:type="dcterms:W3CDTF">2023-01-30T11:51:00Z</dcterms:created>
  <dcterms:modified xsi:type="dcterms:W3CDTF">2023-02-07T10:57:00Z</dcterms:modified>
</cp:coreProperties>
</file>